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A4BEF">
      <w:pPr>
        <w:rPr>
          <w:rFonts w:ascii="Times New Roman" w:hAnsi="Times New Roman" w:eastAsia="Batang"/>
          <w:b/>
          <w:sz w:val="28"/>
          <w:szCs w:val="28"/>
        </w:rPr>
      </w:pPr>
      <w:r>
        <w:rPr>
          <w:rFonts w:ascii="Times New Roman" w:hAnsi="Times New Roman" w:eastAsia="Batang"/>
          <w:b/>
          <w:sz w:val="28"/>
          <w:szCs w:val="28"/>
        </w:rPr>
        <w:t xml:space="preserve">  </w:t>
      </w:r>
    </w:p>
    <w:p w14:paraId="482FF055">
      <w:pPr>
        <w:rPr>
          <w:rFonts w:ascii="Times New Roman" w:hAnsi="Times New Roman" w:eastAsia="Batang"/>
          <w:b/>
          <w:sz w:val="28"/>
          <w:szCs w:val="28"/>
        </w:rPr>
      </w:pPr>
      <w:r>
        <w:rPr>
          <w:rFonts w:ascii="Times New Roman" w:hAnsi="Times New Roman" w:eastAsia="Times New Roman"/>
          <w:sz w:val="24"/>
          <w:szCs w:val="24"/>
          <w:lang w:eastAsia="hr-HR"/>
        </w:rPr>
        <w:t xml:space="preserve">                                                                         </w:t>
      </w:r>
      <w:r>
        <w:rPr>
          <w:rFonts w:ascii="Times New Roman" w:hAnsi="Times New Roman" w:eastAsia="Times New Roman"/>
          <w:sz w:val="24"/>
          <w:szCs w:val="24"/>
          <w:lang w:eastAsia="hr-HR"/>
        </w:rPr>
        <w:drawing>
          <wp:inline distT="0" distB="0" distL="0" distR="0">
            <wp:extent cx="603250" cy="743585"/>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03250" cy="743585"/>
                    </a:xfrm>
                    <a:prstGeom prst="rect">
                      <a:avLst/>
                    </a:prstGeom>
                    <a:noFill/>
                  </pic:spPr>
                </pic:pic>
              </a:graphicData>
            </a:graphic>
          </wp:inline>
        </w:drawing>
      </w:r>
    </w:p>
    <w:p w14:paraId="7223C4EB">
      <w:pPr>
        <w:jc w:val="center"/>
        <w:rPr>
          <w:rFonts w:ascii="Times New Roman" w:hAnsi="Times New Roman" w:eastAsia="Batang"/>
          <w:b/>
          <w:sz w:val="28"/>
          <w:szCs w:val="28"/>
        </w:rPr>
      </w:pPr>
      <w:r>
        <w:rPr>
          <w:rFonts w:ascii="Times New Roman" w:hAnsi="Times New Roman" w:eastAsia="Batang"/>
          <w:b/>
          <w:sz w:val="28"/>
          <w:szCs w:val="28"/>
        </w:rPr>
        <w:t>SISAČKO-MOSLAVAČKA ŽUPANIJA</w:t>
      </w:r>
    </w:p>
    <w:p w14:paraId="6146559E">
      <w:pPr>
        <w:spacing w:after="0"/>
        <w:jc w:val="center"/>
        <w:rPr>
          <w:rFonts w:ascii="Times New Roman" w:hAnsi="Times New Roman" w:eastAsia="Batang"/>
          <w:b/>
          <w:sz w:val="28"/>
          <w:szCs w:val="28"/>
        </w:rPr>
      </w:pPr>
      <w:r>
        <w:rPr>
          <w:rFonts w:ascii="Times New Roman" w:hAnsi="Times New Roman" w:eastAsia="Batang"/>
          <w:b/>
          <w:sz w:val="28"/>
          <w:szCs w:val="28"/>
        </w:rPr>
        <w:t>Upravni odjel za poljoprivredu, ruralni razvoj,</w:t>
      </w:r>
    </w:p>
    <w:p w14:paraId="624F7E1D">
      <w:pPr>
        <w:spacing w:after="0"/>
        <w:jc w:val="center"/>
        <w:rPr>
          <w:rFonts w:ascii="Times New Roman" w:hAnsi="Times New Roman"/>
          <w:sz w:val="28"/>
          <w:szCs w:val="28"/>
        </w:rPr>
      </w:pPr>
      <w:r>
        <w:rPr>
          <w:rFonts w:ascii="Times New Roman" w:hAnsi="Times New Roman" w:eastAsia="Batang"/>
          <w:b/>
          <w:sz w:val="28"/>
          <w:szCs w:val="28"/>
        </w:rPr>
        <w:t>zaštitu okoliša i prirode</w:t>
      </w:r>
    </w:p>
    <w:p w14:paraId="1EA61812">
      <w:pPr>
        <w:spacing w:after="0"/>
        <w:jc w:val="center"/>
        <w:rPr>
          <w:rFonts w:ascii="Times New Roman" w:hAnsi="Times New Roman"/>
          <w:b/>
          <w:sz w:val="28"/>
          <w:szCs w:val="28"/>
        </w:rPr>
      </w:pPr>
    </w:p>
    <w:p w14:paraId="64F635D7">
      <w:pPr>
        <w:spacing w:after="0"/>
        <w:jc w:val="center"/>
        <w:rPr>
          <w:rFonts w:ascii="Times New Roman" w:hAnsi="Times New Roman"/>
          <w:b/>
          <w:sz w:val="32"/>
          <w:szCs w:val="32"/>
        </w:rPr>
      </w:pPr>
    </w:p>
    <w:p w14:paraId="547C6800">
      <w:pPr>
        <w:spacing w:after="0"/>
        <w:jc w:val="center"/>
        <w:rPr>
          <w:rFonts w:ascii="Times New Roman" w:hAnsi="Times New Roman"/>
          <w:b/>
          <w:sz w:val="32"/>
          <w:szCs w:val="32"/>
        </w:rPr>
      </w:pPr>
    </w:p>
    <w:p w14:paraId="43AE9B3F">
      <w:pPr>
        <w:spacing w:after="0"/>
        <w:rPr>
          <w:rFonts w:ascii="Times New Roman" w:hAnsi="Times New Roman"/>
          <w:b/>
          <w:sz w:val="32"/>
          <w:szCs w:val="32"/>
        </w:rPr>
      </w:pPr>
    </w:p>
    <w:p w14:paraId="1C869229">
      <w:pPr>
        <w:spacing w:after="0"/>
        <w:rPr>
          <w:rFonts w:ascii="Times New Roman" w:hAnsi="Times New Roman"/>
          <w:b/>
          <w:sz w:val="32"/>
          <w:szCs w:val="32"/>
        </w:rPr>
      </w:pPr>
    </w:p>
    <w:p w14:paraId="71A1F34D">
      <w:pPr>
        <w:spacing w:after="0"/>
        <w:rPr>
          <w:rFonts w:ascii="Times New Roman" w:hAnsi="Times New Roman"/>
          <w:b/>
          <w:sz w:val="36"/>
          <w:szCs w:val="36"/>
        </w:rPr>
      </w:pPr>
    </w:p>
    <w:p w14:paraId="6CFFCAF4">
      <w:pPr>
        <w:spacing w:after="0"/>
        <w:jc w:val="center"/>
        <w:rPr>
          <w:rFonts w:ascii="Times New Roman" w:hAnsi="Times New Roman"/>
          <w:b/>
          <w:sz w:val="36"/>
          <w:szCs w:val="36"/>
        </w:rPr>
      </w:pPr>
      <w:r>
        <w:rPr>
          <w:rFonts w:ascii="Times New Roman" w:hAnsi="Times New Roman"/>
          <w:b/>
          <w:sz w:val="36"/>
          <w:szCs w:val="36"/>
        </w:rPr>
        <w:t>UPUTE ZA PRIJAVITELJE</w:t>
      </w:r>
    </w:p>
    <w:p w14:paraId="2C19E7C1">
      <w:pPr>
        <w:spacing w:after="0"/>
        <w:jc w:val="center"/>
        <w:rPr>
          <w:rFonts w:ascii="Times New Roman" w:hAnsi="Times New Roman"/>
          <w:b/>
          <w:sz w:val="36"/>
          <w:szCs w:val="36"/>
        </w:rPr>
      </w:pPr>
      <w:r>
        <w:rPr>
          <w:rFonts w:ascii="Times New Roman" w:hAnsi="Times New Roman"/>
          <w:b/>
          <w:sz w:val="36"/>
          <w:szCs w:val="36"/>
        </w:rPr>
        <w:t>uz</w:t>
      </w:r>
    </w:p>
    <w:p w14:paraId="78DCAD5A">
      <w:pPr>
        <w:spacing w:after="0"/>
        <w:jc w:val="center"/>
        <w:rPr>
          <w:rFonts w:ascii="Times New Roman" w:hAnsi="Times New Roman" w:eastAsia="Times New Roman"/>
          <w:b/>
          <w:sz w:val="36"/>
          <w:szCs w:val="36"/>
          <w:lang w:eastAsia="hr-HR"/>
        </w:rPr>
      </w:pPr>
      <w:r>
        <w:rPr>
          <w:rFonts w:ascii="Times New Roman" w:hAnsi="Times New Roman" w:eastAsia="Times New Roman"/>
          <w:b/>
          <w:sz w:val="36"/>
          <w:szCs w:val="36"/>
          <w:lang w:eastAsia="hr-HR"/>
        </w:rPr>
        <w:t>JAVNI POZIV</w:t>
      </w:r>
    </w:p>
    <w:p w14:paraId="44F35885">
      <w:pPr>
        <w:spacing w:after="0"/>
        <w:jc w:val="center"/>
        <w:rPr>
          <w:rFonts w:ascii="Times New Roman" w:hAnsi="Times New Roman" w:eastAsia="Times New Roman"/>
          <w:b/>
          <w:sz w:val="28"/>
          <w:szCs w:val="28"/>
          <w:lang w:eastAsia="hr-HR"/>
        </w:rPr>
      </w:pPr>
      <w:r>
        <w:rPr>
          <w:rFonts w:ascii="Times New Roman" w:hAnsi="Times New Roman" w:eastAsia="Times New Roman"/>
          <w:b/>
          <w:sz w:val="28"/>
          <w:szCs w:val="28"/>
          <w:lang w:eastAsia="hr-HR"/>
        </w:rPr>
        <w:t>za sufinanciranje razvoja lovstva na području</w:t>
      </w:r>
    </w:p>
    <w:p w14:paraId="4697C5DA">
      <w:pPr>
        <w:pStyle w:val="38"/>
        <w:jc w:val="center"/>
        <w:rPr>
          <w:rFonts w:ascii="Times New Roman" w:hAnsi="Times New Roman" w:eastAsia="Times New Roman"/>
          <w:b/>
          <w:sz w:val="28"/>
          <w:szCs w:val="28"/>
          <w:lang w:eastAsia="hr-HR"/>
        </w:rPr>
      </w:pPr>
      <w:r>
        <w:rPr>
          <w:rFonts w:ascii="Times New Roman" w:hAnsi="Times New Roman" w:eastAsia="Times New Roman"/>
          <w:b/>
          <w:sz w:val="28"/>
          <w:szCs w:val="28"/>
          <w:lang w:eastAsia="hr-HR"/>
        </w:rPr>
        <w:t>Sisačko-moslavačke županije za 2025. godinu</w:t>
      </w:r>
    </w:p>
    <w:p w14:paraId="478E0660">
      <w:pPr>
        <w:pStyle w:val="38"/>
        <w:jc w:val="center"/>
        <w:rPr>
          <w:rFonts w:ascii="Times New Roman" w:hAnsi="Times New Roman" w:eastAsia="Times New Roman"/>
          <w:b/>
          <w:sz w:val="28"/>
          <w:szCs w:val="28"/>
          <w:lang w:eastAsia="hr-HR"/>
        </w:rPr>
      </w:pPr>
    </w:p>
    <w:p w14:paraId="2E9763F9">
      <w:pPr>
        <w:pStyle w:val="38"/>
        <w:jc w:val="center"/>
        <w:rPr>
          <w:rFonts w:ascii="Times New Roman" w:hAnsi="Times New Roman" w:eastAsia="Times New Roman"/>
          <w:b/>
          <w:sz w:val="28"/>
          <w:szCs w:val="28"/>
          <w:lang w:eastAsia="hr-HR"/>
        </w:rPr>
      </w:pPr>
    </w:p>
    <w:p w14:paraId="00E30BCC">
      <w:pPr>
        <w:pStyle w:val="38"/>
        <w:jc w:val="center"/>
        <w:rPr>
          <w:rFonts w:ascii="Times New Roman" w:hAnsi="Times New Roman" w:eastAsia="Times New Roman"/>
          <w:b/>
          <w:sz w:val="28"/>
          <w:szCs w:val="28"/>
          <w:lang w:eastAsia="hr-HR"/>
        </w:rPr>
      </w:pPr>
    </w:p>
    <w:p w14:paraId="21483766">
      <w:pPr>
        <w:pStyle w:val="38"/>
        <w:jc w:val="center"/>
        <w:rPr>
          <w:rFonts w:ascii="Times New Roman" w:hAnsi="Times New Roman" w:eastAsia="Times New Roman"/>
          <w:b/>
          <w:sz w:val="28"/>
          <w:szCs w:val="28"/>
          <w:lang w:eastAsia="hr-HR"/>
        </w:rPr>
      </w:pPr>
    </w:p>
    <w:p w14:paraId="6A8216ED">
      <w:pPr>
        <w:pStyle w:val="38"/>
        <w:jc w:val="center"/>
        <w:rPr>
          <w:rFonts w:ascii="Times New Roman" w:hAnsi="Times New Roman" w:eastAsia="Times New Roman"/>
          <w:b/>
          <w:sz w:val="28"/>
          <w:szCs w:val="28"/>
          <w:lang w:eastAsia="hr-HR"/>
        </w:rPr>
      </w:pPr>
    </w:p>
    <w:p w14:paraId="1BB66365">
      <w:pPr>
        <w:pStyle w:val="38"/>
        <w:jc w:val="center"/>
        <w:rPr>
          <w:rFonts w:ascii="Times New Roman" w:hAnsi="Times New Roman" w:eastAsia="Times New Roman"/>
          <w:b/>
          <w:sz w:val="28"/>
          <w:szCs w:val="28"/>
          <w:lang w:eastAsia="hr-HR"/>
        </w:rPr>
      </w:pPr>
    </w:p>
    <w:p w14:paraId="3F0FDB07">
      <w:pPr>
        <w:pStyle w:val="38"/>
        <w:jc w:val="center"/>
        <w:rPr>
          <w:rFonts w:ascii="Times New Roman" w:hAnsi="Times New Roman" w:eastAsia="Times New Roman"/>
          <w:b/>
          <w:sz w:val="28"/>
          <w:szCs w:val="28"/>
          <w:lang w:eastAsia="hr-HR"/>
        </w:rPr>
      </w:pPr>
    </w:p>
    <w:p w14:paraId="5E52845E">
      <w:pPr>
        <w:pStyle w:val="38"/>
        <w:jc w:val="center"/>
        <w:rPr>
          <w:rFonts w:ascii="Times New Roman" w:hAnsi="Times New Roman" w:eastAsia="Times New Roman"/>
          <w:b/>
          <w:sz w:val="28"/>
          <w:szCs w:val="28"/>
          <w:lang w:eastAsia="hr-HR"/>
        </w:rPr>
      </w:pPr>
    </w:p>
    <w:p w14:paraId="1EACE869">
      <w:pPr>
        <w:pStyle w:val="38"/>
        <w:jc w:val="center"/>
        <w:rPr>
          <w:rFonts w:ascii="Times New Roman" w:hAnsi="Times New Roman" w:eastAsia="Times New Roman"/>
          <w:b/>
          <w:sz w:val="28"/>
          <w:szCs w:val="28"/>
          <w:lang w:eastAsia="hr-HR"/>
        </w:rPr>
      </w:pPr>
    </w:p>
    <w:p w14:paraId="6A5CCAF3">
      <w:pPr>
        <w:pStyle w:val="38"/>
        <w:jc w:val="center"/>
        <w:rPr>
          <w:rFonts w:ascii="Times New Roman" w:hAnsi="Times New Roman" w:eastAsia="Times New Roman"/>
          <w:b/>
          <w:sz w:val="28"/>
          <w:szCs w:val="28"/>
          <w:lang w:eastAsia="hr-HR"/>
        </w:rPr>
      </w:pPr>
    </w:p>
    <w:p w14:paraId="04E2BF12">
      <w:pPr>
        <w:pStyle w:val="38"/>
        <w:jc w:val="center"/>
        <w:rPr>
          <w:rFonts w:ascii="Times New Roman" w:hAnsi="Times New Roman" w:eastAsia="Times New Roman"/>
          <w:b/>
          <w:sz w:val="28"/>
          <w:szCs w:val="28"/>
          <w:lang w:eastAsia="hr-HR"/>
        </w:rPr>
      </w:pPr>
      <w:r>
        <w:rPr>
          <w:rFonts w:ascii="Times New Roman" w:hAnsi="Times New Roman" w:eastAsia="Times New Roman"/>
          <w:b/>
          <w:sz w:val="28"/>
          <w:szCs w:val="28"/>
          <w:lang w:eastAsia="hr-HR"/>
        </w:rPr>
        <w:t>Datum objave: 1. kolovoza 2025.</w:t>
      </w:r>
    </w:p>
    <w:p w14:paraId="09C8D382">
      <w:pPr>
        <w:pStyle w:val="38"/>
        <w:rPr>
          <w:rFonts w:ascii="Times New Roman" w:hAnsi="Times New Roman" w:eastAsia="Times New Roman"/>
          <w:b/>
          <w:sz w:val="28"/>
          <w:szCs w:val="28"/>
          <w:lang w:eastAsia="hr-HR"/>
        </w:rPr>
      </w:pPr>
      <w:r>
        <w:rPr>
          <w:rFonts w:ascii="Times New Roman" w:hAnsi="Times New Roman" w:eastAsia="Times New Roman"/>
          <w:b/>
          <w:sz w:val="28"/>
          <w:szCs w:val="28"/>
          <w:lang w:eastAsia="hr-HR"/>
        </w:rPr>
        <w:tab/>
      </w:r>
      <w:r>
        <w:rPr>
          <w:rFonts w:ascii="Times New Roman" w:hAnsi="Times New Roman" w:eastAsia="Times New Roman"/>
          <w:b/>
          <w:sz w:val="28"/>
          <w:szCs w:val="28"/>
          <w:lang w:eastAsia="hr-HR"/>
        </w:rPr>
        <w:tab/>
      </w:r>
      <w:r>
        <w:rPr>
          <w:rFonts w:ascii="Times New Roman" w:hAnsi="Times New Roman" w:eastAsia="Times New Roman"/>
          <w:b/>
          <w:sz w:val="28"/>
          <w:szCs w:val="28"/>
          <w:lang w:eastAsia="hr-HR"/>
        </w:rPr>
        <w:tab/>
      </w:r>
      <w:r>
        <w:rPr>
          <w:rFonts w:ascii="Times New Roman" w:hAnsi="Times New Roman" w:eastAsia="Times New Roman"/>
          <w:b/>
          <w:sz w:val="28"/>
          <w:szCs w:val="28"/>
          <w:lang w:eastAsia="hr-HR"/>
        </w:rPr>
        <w:tab/>
      </w:r>
    </w:p>
    <w:p w14:paraId="7866DE04">
      <w:pPr>
        <w:pStyle w:val="38"/>
        <w:rPr>
          <w:rFonts w:ascii="Times New Roman" w:hAnsi="Times New Roman" w:eastAsia="Times New Roman"/>
          <w:b/>
          <w:sz w:val="24"/>
          <w:szCs w:val="24"/>
          <w:lang w:eastAsia="hr-HR"/>
        </w:rPr>
      </w:pPr>
      <w:r>
        <w:rPr>
          <w:rFonts w:ascii="Times New Roman" w:hAnsi="Times New Roman" w:eastAsia="Times New Roman"/>
          <w:b/>
          <w:sz w:val="28"/>
          <w:szCs w:val="28"/>
          <w:lang w:eastAsia="hr-HR"/>
        </w:rPr>
        <w:tab/>
      </w:r>
      <w:r>
        <w:rPr>
          <w:rFonts w:ascii="Times New Roman" w:hAnsi="Times New Roman" w:eastAsia="Times New Roman"/>
          <w:b/>
          <w:sz w:val="28"/>
          <w:szCs w:val="28"/>
          <w:lang w:eastAsia="hr-HR"/>
        </w:rPr>
        <w:tab/>
      </w:r>
      <w:r>
        <w:rPr>
          <w:rFonts w:ascii="Times New Roman" w:hAnsi="Times New Roman" w:eastAsia="Times New Roman"/>
          <w:b/>
          <w:sz w:val="28"/>
          <w:szCs w:val="28"/>
          <w:lang w:eastAsia="hr-HR"/>
        </w:rPr>
        <w:tab/>
      </w:r>
      <w:r>
        <w:rPr>
          <w:rFonts w:ascii="Times New Roman" w:hAnsi="Times New Roman" w:eastAsia="Times New Roman"/>
          <w:b/>
          <w:sz w:val="28"/>
          <w:szCs w:val="28"/>
          <w:lang w:eastAsia="hr-HR"/>
        </w:rPr>
        <w:t xml:space="preserve">Rok za dostavu prijava: do 30. rujna 2025. </w:t>
      </w:r>
    </w:p>
    <w:p w14:paraId="1D603DB6">
      <w:pPr>
        <w:spacing w:after="0"/>
        <w:jc w:val="center"/>
        <w:rPr>
          <w:rFonts w:ascii="Times New Roman" w:hAnsi="Times New Roman" w:eastAsia="Times New Roman"/>
          <w:b/>
          <w:sz w:val="28"/>
          <w:szCs w:val="28"/>
          <w:lang w:eastAsia="hr-HR"/>
        </w:rPr>
      </w:pPr>
      <w:r>
        <w:rPr>
          <w:rFonts w:ascii="Times New Roman" w:hAnsi="Times New Roman" w:eastAsia="Times New Roman"/>
          <w:b/>
          <w:sz w:val="28"/>
          <w:szCs w:val="28"/>
          <w:lang w:eastAsia="hr-HR"/>
        </w:rPr>
        <w:t xml:space="preserve"> </w:t>
      </w:r>
    </w:p>
    <w:p w14:paraId="102C2525">
      <w:pPr>
        <w:spacing w:after="0" w:line="240" w:lineRule="auto"/>
        <w:rPr>
          <w:rFonts w:ascii="Times New Roman" w:hAnsi="Times New Roman"/>
          <w:sz w:val="24"/>
          <w:szCs w:val="24"/>
        </w:rPr>
      </w:pPr>
      <w:r>
        <w:rPr>
          <w:rFonts w:ascii="Times New Roman" w:hAnsi="Times New Roman"/>
          <w:sz w:val="36"/>
          <w:szCs w:val="36"/>
        </w:rPr>
        <w:br w:type="page"/>
      </w:r>
    </w:p>
    <w:p w14:paraId="0899AE7F">
      <w:pPr>
        <w:pStyle w:val="39"/>
        <w:numPr>
          <w:ilvl w:val="0"/>
          <w:numId w:val="1"/>
        </w:numPr>
        <w:spacing w:after="0"/>
        <w:rPr>
          <w:rFonts w:ascii="Times New Roman" w:hAnsi="Times New Roman"/>
          <w:b/>
          <w:sz w:val="24"/>
          <w:szCs w:val="24"/>
          <w:lang w:eastAsia="ar-SA"/>
        </w:rPr>
      </w:pPr>
      <w:r>
        <w:rPr>
          <w:rFonts w:ascii="Times New Roman" w:hAnsi="Times New Roman"/>
          <w:b/>
          <w:sz w:val="24"/>
          <w:szCs w:val="24"/>
          <w:lang w:eastAsia="ar-SA"/>
        </w:rPr>
        <w:t>PREDMET JAVOG POZIVA</w:t>
      </w:r>
    </w:p>
    <w:p w14:paraId="0AC7FE81">
      <w:pPr>
        <w:pStyle w:val="38"/>
        <w:jc w:val="both"/>
        <w:rPr>
          <w:rFonts w:ascii="Times New Roman" w:hAnsi="Times New Roman"/>
          <w:sz w:val="24"/>
          <w:szCs w:val="24"/>
        </w:rPr>
      </w:pPr>
      <w:r>
        <w:rPr>
          <w:rFonts w:ascii="Times New Roman" w:hAnsi="Times New Roman"/>
          <w:sz w:val="24"/>
          <w:szCs w:val="24"/>
        </w:rPr>
        <w:t>Predmet Javnog poziva je dodjela bespovratne novčane potpore lovoovlaštenicima</w:t>
      </w:r>
      <w:r>
        <w:rPr>
          <w:rFonts w:hint="default" w:ascii="Times New Roman" w:hAnsi="Times New Roman"/>
          <w:sz w:val="24"/>
          <w:szCs w:val="24"/>
          <w:lang w:val="hr-HR"/>
        </w:rPr>
        <w:t xml:space="preserve"> u lovištima </w:t>
      </w:r>
      <w:r>
        <w:rPr>
          <w:rFonts w:ascii="Times New Roman" w:hAnsi="Times New Roman"/>
          <w:sz w:val="24"/>
          <w:szCs w:val="24"/>
        </w:rPr>
        <w:t>s područja Sisačko-moslavačke županije za financiranje aktivnosti i projekata iz područja lovstva koje su neophodne u gospodarenju lovištima i gospodarenju s divljači kako bi se doprinijelo razvoju i unaprjeđenju lovstva te sprječavanju šteta od divljači i na divljači na području Sisačko-moslavačke županije, a sukladno Planu razvoja Sisačko-moslavačke županije do 2027. godine („Službeni glasnik Sisačko-moslavačke županije“ 4/23).</w:t>
      </w:r>
    </w:p>
    <w:p w14:paraId="357B4F77">
      <w:pPr>
        <w:pStyle w:val="38"/>
        <w:tabs>
          <w:tab w:val="left" w:pos="1279"/>
        </w:tabs>
        <w:jc w:val="both"/>
        <w:rPr>
          <w:rFonts w:ascii="Times New Roman" w:hAnsi="Times New Roman"/>
          <w:sz w:val="24"/>
          <w:szCs w:val="24"/>
        </w:rPr>
      </w:pPr>
    </w:p>
    <w:p w14:paraId="56A44F56">
      <w:pPr>
        <w:pStyle w:val="39"/>
        <w:numPr>
          <w:ilvl w:val="0"/>
          <w:numId w:val="1"/>
        </w:numPr>
        <w:spacing w:after="0"/>
        <w:rPr>
          <w:rFonts w:ascii="Times New Roman" w:hAnsi="Times New Roman"/>
          <w:b/>
          <w:sz w:val="24"/>
          <w:szCs w:val="24"/>
          <w:lang w:eastAsia="ar-SA"/>
        </w:rPr>
      </w:pPr>
      <w:r>
        <w:rPr>
          <w:rFonts w:ascii="Times New Roman" w:hAnsi="Times New Roman"/>
          <w:b/>
          <w:sz w:val="24"/>
          <w:szCs w:val="24"/>
        </w:rPr>
        <w:t>CILJ JAVNOG POZIVA I PRIORITETI ZA DODJELU BESPOVRATNIH NOVČANIH POTPORA</w:t>
      </w:r>
    </w:p>
    <w:p w14:paraId="78847E8A">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Cilj dodjele ovih bespovratnih novčanih potpora je unaprjeđenje gospodarske funkcije lovstva te zaštita i očuvanje biološke i ekološke ravnoteže prirodnih staništa divljači te valorizacija lovstva kroz turističku ponudu i njezin doprinos regionalnom gospodarstvu i ruralnom razvoju Sisačko-moslavačke županije.</w:t>
      </w:r>
    </w:p>
    <w:p w14:paraId="0DF76E58">
      <w:pPr>
        <w:spacing w:after="0" w:line="240" w:lineRule="auto"/>
        <w:jc w:val="both"/>
        <w:rPr>
          <w:rFonts w:ascii="Times New Roman" w:hAnsi="Times New Roman" w:eastAsia="Times New Roman"/>
          <w:sz w:val="24"/>
          <w:szCs w:val="24"/>
          <w:lang w:eastAsia="hr-HR"/>
        </w:rPr>
      </w:pPr>
    </w:p>
    <w:p w14:paraId="6850E355">
      <w:pPr>
        <w:pStyle w:val="39"/>
        <w:numPr>
          <w:ilvl w:val="0"/>
          <w:numId w:val="1"/>
        </w:numPr>
        <w:spacing w:after="0" w:line="240" w:lineRule="auto"/>
        <w:jc w:val="both"/>
        <w:rPr>
          <w:rFonts w:ascii="Times New Roman" w:hAnsi="Times New Roman" w:eastAsia="Times New Roman"/>
          <w:b/>
          <w:sz w:val="24"/>
          <w:szCs w:val="24"/>
          <w:lang w:eastAsia="hr-HR"/>
        </w:rPr>
      </w:pPr>
      <w:r>
        <w:rPr>
          <w:rFonts w:ascii="Times New Roman" w:hAnsi="Times New Roman" w:eastAsia="Times New Roman"/>
          <w:b/>
          <w:sz w:val="24"/>
          <w:szCs w:val="24"/>
          <w:lang w:eastAsia="hr-HR"/>
        </w:rPr>
        <w:t>BESPOVRATNE NOVČANE POTPORE</w:t>
      </w:r>
    </w:p>
    <w:p w14:paraId="022E2B05">
      <w:pPr>
        <w:pStyle w:val="39"/>
        <w:spacing w:after="0" w:line="240" w:lineRule="auto"/>
        <w:ind w:left="786"/>
        <w:jc w:val="both"/>
        <w:rPr>
          <w:rFonts w:ascii="Times New Roman" w:hAnsi="Times New Roman" w:eastAsia="Times New Roman"/>
          <w:sz w:val="24"/>
          <w:szCs w:val="24"/>
          <w:vertAlign w:val="subscript"/>
          <w:lang w:eastAsia="hr-HR"/>
        </w:rPr>
      </w:pPr>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28" w:type="dxa"/>
          <w:left w:w="113" w:type="dxa"/>
          <w:bottom w:w="28" w:type="dxa"/>
          <w:right w:w="0" w:type="dxa"/>
        </w:tblCellMar>
      </w:tblPr>
      <w:tblGrid>
        <w:gridCol w:w="9899"/>
      </w:tblGrid>
      <w:tr w14:paraId="4DF1E5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28" w:type="dxa"/>
            <w:left w:w="113" w:type="dxa"/>
            <w:bottom w:w="28" w:type="dxa"/>
            <w:right w:w="0" w:type="dxa"/>
          </w:tblCellMar>
        </w:tblPrEx>
        <w:trPr>
          <w:trHeight w:val="308" w:hRule="exact"/>
        </w:trPr>
        <w:tc>
          <w:tcPr>
            <w:tcW w:w="5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40350AF3">
            <w:pPr>
              <w:widowControl w:val="0"/>
              <w:suppressLineNumbers/>
              <w:snapToGrid w:val="0"/>
              <w:rPr>
                <w:rFonts w:ascii="Times New Roman" w:hAnsi="Times New Roman"/>
                <w:b/>
                <w:bCs/>
                <w:sz w:val="24"/>
                <w:szCs w:val="24"/>
              </w:rPr>
            </w:pPr>
            <w:bookmarkStart w:id="0" w:name="_Hlk35941329"/>
            <w:r>
              <w:rPr>
                <w:rFonts w:ascii="Times New Roman" w:hAnsi="Times New Roman"/>
                <w:b/>
                <w:sz w:val="24"/>
                <w:szCs w:val="24"/>
              </w:rPr>
              <w:t>Iznosi bespovratne novčane potpore</w:t>
            </w:r>
          </w:p>
        </w:tc>
      </w:tr>
      <w:bookmarkEnd w:id="0"/>
    </w:tbl>
    <w:p w14:paraId="5401D67A">
      <w:pPr>
        <w:spacing w:after="0" w:line="240" w:lineRule="auto"/>
        <w:jc w:val="both"/>
        <w:rPr>
          <w:rFonts w:ascii="Times New Roman" w:hAnsi="Times New Roman"/>
          <w:sz w:val="16"/>
          <w:szCs w:val="16"/>
        </w:rPr>
      </w:pPr>
    </w:p>
    <w:p w14:paraId="658DF37D">
      <w:pPr>
        <w:spacing w:after="0" w:line="240" w:lineRule="auto"/>
        <w:jc w:val="both"/>
        <w:rPr>
          <w:rFonts w:ascii="Times New Roman" w:hAnsi="Times New Roman"/>
          <w:sz w:val="24"/>
          <w:szCs w:val="24"/>
        </w:rPr>
      </w:pPr>
      <w:r>
        <w:rPr>
          <w:rFonts w:ascii="Times New Roman" w:hAnsi="Times New Roman"/>
          <w:sz w:val="24"/>
          <w:szCs w:val="24"/>
        </w:rPr>
        <w:t xml:space="preserve">Ukupno planirana sredstva za provedbu </w:t>
      </w:r>
      <w:r>
        <w:rPr>
          <w:rFonts w:ascii="Times New Roman" w:hAnsi="Times New Roman" w:eastAsia="Times New Roman"/>
          <w:sz w:val="24"/>
          <w:szCs w:val="24"/>
          <w:lang w:eastAsia="hr-HR"/>
        </w:rPr>
        <w:t xml:space="preserve">Javnog poziva za sufinanciranje razvoja lovstva na području Sisačko-moslavačke županije za 2025. godinu (u daljnjem tekstu: Javni poziv) </w:t>
      </w:r>
      <w:r>
        <w:rPr>
          <w:rFonts w:ascii="Times New Roman" w:hAnsi="Times New Roman"/>
          <w:sz w:val="24"/>
          <w:szCs w:val="24"/>
        </w:rPr>
        <w:t>iznose 60.000,00 €, a osigurana su u Proračunu Sisačko-moslavačke županije za 2025. godinu, na poziciji R-2546-01. Planirani maksimalni broj dodijeljenih pojedinačnih bespovratnih novčanih potpora je do 66.</w:t>
      </w:r>
    </w:p>
    <w:p w14:paraId="11C2F534">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7F4589DA">
      <w:pPr>
        <w:spacing w:after="0" w:line="240" w:lineRule="auto"/>
        <w:jc w:val="both"/>
        <w:rPr>
          <w:rFonts w:ascii="Times New Roman" w:hAnsi="Times New Roman"/>
          <w:sz w:val="24"/>
          <w:szCs w:val="24"/>
        </w:rPr>
      </w:pPr>
      <w:r>
        <w:rPr>
          <w:rFonts w:ascii="Times New Roman" w:hAnsi="Times New Roman"/>
          <w:sz w:val="24"/>
          <w:szCs w:val="24"/>
        </w:rPr>
        <w:t xml:space="preserve">Prijavitelji se mogu prijaviti na više mjera utvrđenih Odlukom o sufinanciranju </w:t>
      </w:r>
      <w:r>
        <w:rPr>
          <w:rFonts w:ascii="Times New Roman" w:hAnsi="Times New Roman" w:eastAsiaTheme="minorHAnsi"/>
          <w:sz w:val="24"/>
          <w:szCs w:val="24"/>
        </w:rPr>
        <w:t xml:space="preserve">razvoja lovstva na području Sisačko-moslavačke županije </w:t>
      </w:r>
      <w:r>
        <w:rPr>
          <w:rFonts w:ascii="Times New Roman" w:hAnsi="Times New Roman" w:eastAsia="Times New Roman" w:cstheme="minorBidi"/>
          <w:sz w:val="24"/>
          <w:szCs w:val="24"/>
          <w:lang w:eastAsia="hr-HR"/>
        </w:rPr>
        <w:t>za 202</w:t>
      </w:r>
      <w:r>
        <w:rPr>
          <w:rFonts w:ascii="Times New Roman" w:hAnsi="Times New Roman" w:eastAsia="Times New Roman" w:cstheme="minorBidi"/>
          <w:sz w:val="24"/>
          <w:szCs w:val="24"/>
          <w:lang w:val="en-US" w:eastAsia="hr-HR"/>
        </w:rPr>
        <w:t>5</w:t>
      </w:r>
      <w:r>
        <w:rPr>
          <w:rFonts w:ascii="Times New Roman" w:hAnsi="Times New Roman" w:eastAsia="Times New Roman" w:cstheme="minorBidi"/>
          <w:sz w:val="24"/>
          <w:szCs w:val="24"/>
          <w:lang w:eastAsia="hr-HR"/>
        </w:rPr>
        <w:t>. godinu (u daljnjem tekstu: Odluka)</w:t>
      </w:r>
      <w:r>
        <w:rPr>
          <w:rFonts w:ascii="Times New Roman" w:hAnsi="Times New Roman"/>
          <w:sz w:val="24"/>
          <w:szCs w:val="24"/>
        </w:rPr>
        <w:t>, a maksimalni iznos ukupne bespovratne novčane potpore ne može prelaziti iznos od 75% lovozakupnine koju je lovoovlaštenik uplatio za lovnu godinu 2024./2025.</w:t>
      </w:r>
    </w:p>
    <w:p w14:paraId="29C678B7">
      <w:pPr>
        <w:spacing w:after="0" w:line="240" w:lineRule="auto"/>
        <w:jc w:val="both"/>
        <w:rPr>
          <w:rFonts w:ascii="Times New Roman" w:hAnsi="Times New Roman" w:eastAsiaTheme="minorHAnsi"/>
          <w:sz w:val="16"/>
          <w:szCs w:val="16"/>
          <w:vertAlign w:val="subscript"/>
        </w:rPr>
      </w:pPr>
    </w:p>
    <w:p w14:paraId="3E11DC86">
      <w:pPr>
        <w:pStyle w:val="28"/>
        <w:numPr>
          <w:ilvl w:val="0"/>
          <w:numId w:val="1"/>
        </w:numPr>
        <w:jc w:val="left"/>
        <w:rPr>
          <w:rFonts w:ascii="Times New Roman" w:hAnsi="Times New Roman" w:cs="Times New Roman"/>
          <w:b/>
          <w:bCs/>
          <w:i w:val="0"/>
          <w:iCs/>
        </w:rPr>
      </w:pPr>
      <w:r>
        <w:rPr>
          <w:rFonts w:ascii="Times New Roman" w:hAnsi="Times New Roman" w:cs="Times New Roman"/>
          <w:b/>
          <w:bCs/>
          <w:i w:val="0"/>
          <w:iCs/>
        </w:rPr>
        <w:t>FOR</w:t>
      </w:r>
      <w:r>
        <w:rPr>
          <w:rFonts w:ascii="Times New Roman" w:hAnsi="Times New Roman" w:cs="Times New Roman"/>
          <w:b/>
          <w:bCs/>
          <w:i w:val="0"/>
          <w:iCs/>
          <w:lang w:val="hr-HR"/>
        </w:rPr>
        <w:t>M</w:t>
      </w:r>
      <w:r>
        <w:rPr>
          <w:rFonts w:ascii="Times New Roman" w:hAnsi="Times New Roman" w:cs="Times New Roman"/>
          <w:b/>
          <w:bCs/>
          <w:i w:val="0"/>
          <w:iCs/>
        </w:rPr>
        <w:t>ALNI UVJETI JAVNOG POZIVA</w:t>
      </w:r>
    </w:p>
    <w:p w14:paraId="4E45C490">
      <w:pPr>
        <w:pStyle w:val="28"/>
        <w:ind w:left="786"/>
        <w:jc w:val="left"/>
        <w:rPr>
          <w:rFonts w:ascii="Times New Roman" w:hAnsi="Times New Roman" w:cs="Times New Roman"/>
          <w:b/>
          <w:bCs/>
          <w:i w:val="0"/>
          <w:iCs/>
        </w:rPr>
      </w:pPr>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28" w:type="dxa"/>
          <w:left w:w="113" w:type="dxa"/>
          <w:bottom w:w="28" w:type="dxa"/>
          <w:right w:w="0" w:type="dxa"/>
        </w:tblCellMar>
      </w:tblPr>
      <w:tblGrid>
        <w:gridCol w:w="9899"/>
      </w:tblGrid>
      <w:tr w14:paraId="48A51E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28" w:type="dxa"/>
            <w:left w:w="113" w:type="dxa"/>
            <w:bottom w:w="28" w:type="dxa"/>
            <w:right w:w="0" w:type="dxa"/>
          </w:tblCellMar>
        </w:tblPrEx>
        <w:trPr>
          <w:trHeight w:val="308" w:hRule="exact"/>
        </w:trPr>
        <w:tc>
          <w:tcPr>
            <w:tcW w:w="5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6592B7E1">
            <w:pPr>
              <w:pStyle w:val="28"/>
              <w:jc w:val="left"/>
              <w:rPr>
                <w:rFonts w:ascii="Times New Roman" w:hAnsi="Times New Roman" w:cs="Times New Roman"/>
                <w:b/>
                <w:bCs/>
                <w:i w:val="0"/>
                <w:iCs/>
                <w:sz w:val="24"/>
              </w:rPr>
            </w:pPr>
            <w:bookmarkStart w:id="1" w:name="_Hlk35941269"/>
            <w:r>
              <w:rPr>
                <w:rFonts w:ascii="Times New Roman" w:hAnsi="Times New Roman" w:cs="Times New Roman"/>
                <w:b/>
                <w:bCs/>
                <w:i w:val="0"/>
                <w:iCs/>
                <w:sz w:val="24"/>
              </w:rPr>
              <w:t>Prihvatljivi prijavitelji</w:t>
            </w:r>
          </w:p>
        </w:tc>
      </w:tr>
      <w:bookmarkEnd w:id="1"/>
    </w:tbl>
    <w:p w14:paraId="01899CCB">
      <w:pPr>
        <w:pStyle w:val="15"/>
        <w:tabs>
          <w:tab w:val="left" w:pos="284"/>
        </w:tabs>
        <w:spacing w:after="0"/>
        <w:jc w:val="both"/>
        <w:rPr>
          <w:color w:val="000000"/>
          <w:sz w:val="24"/>
          <w:szCs w:val="24"/>
        </w:rPr>
      </w:pPr>
    </w:p>
    <w:p w14:paraId="1750B92B">
      <w:pPr>
        <w:pStyle w:val="15"/>
        <w:tabs>
          <w:tab w:val="left" w:pos="284"/>
        </w:tabs>
        <w:jc w:val="both"/>
        <w:rPr>
          <w:color w:val="000000"/>
          <w:sz w:val="24"/>
          <w:szCs w:val="24"/>
        </w:rPr>
      </w:pPr>
      <w:r>
        <w:rPr>
          <w:color w:val="000000"/>
          <w:sz w:val="24"/>
          <w:szCs w:val="24"/>
        </w:rPr>
        <w:t xml:space="preserve">Pravo podnošenja prijave imaju </w:t>
      </w:r>
      <w:r>
        <w:rPr>
          <w:sz w:val="24"/>
          <w:szCs w:val="24"/>
        </w:rPr>
        <w:t>lovoovlaštenici lovišta na području Sisačko-moslavačke županije, odnosno pravne ili fizičke osobe koje su stekle pravo lova u lovištu na području Sisačko-moslavačke županije temeljem Zakona o lovstvu, a na području Sisačko-moslavačke županije imaju jedno ili više lovišta.</w:t>
      </w:r>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28" w:type="dxa"/>
          <w:left w:w="113" w:type="dxa"/>
          <w:bottom w:w="28" w:type="dxa"/>
          <w:right w:w="0" w:type="dxa"/>
        </w:tblCellMar>
      </w:tblPr>
      <w:tblGrid>
        <w:gridCol w:w="9899"/>
      </w:tblGrid>
      <w:tr w14:paraId="368A8D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28" w:type="dxa"/>
            <w:left w:w="113" w:type="dxa"/>
            <w:bottom w:w="28" w:type="dxa"/>
            <w:right w:w="0" w:type="dxa"/>
          </w:tblCellMar>
        </w:tblPrEx>
        <w:trPr>
          <w:trHeight w:val="308" w:hRule="exact"/>
        </w:trPr>
        <w:tc>
          <w:tcPr>
            <w:tcW w:w="5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0EDC5A8D">
            <w:pPr>
              <w:widowControl w:val="0"/>
              <w:suppressLineNumbers/>
              <w:snapToGrid w:val="0"/>
              <w:rPr>
                <w:rFonts w:ascii="Times New Roman" w:hAnsi="Times New Roman"/>
                <w:b/>
                <w:bCs/>
                <w:sz w:val="24"/>
                <w:szCs w:val="24"/>
              </w:rPr>
            </w:pPr>
            <w:r>
              <w:rPr>
                <w:rFonts w:ascii="Times New Roman" w:hAnsi="Times New Roman"/>
                <w:b/>
                <w:bCs/>
                <w:sz w:val="24"/>
                <w:szCs w:val="24"/>
              </w:rPr>
              <w:t>Uvjeti koje prijavitelj mora ispunjavati</w:t>
            </w:r>
          </w:p>
        </w:tc>
      </w:tr>
    </w:tbl>
    <w:p w14:paraId="7C6276FE">
      <w:pPr>
        <w:pStyle w:val="39"/>
        <w:spacing w:after="0" w:line="240" w:lineRule="auto"/>
        <w:ind w:left="644"/>
        <w:jc w:val="both"/>
        <w:rPr>
          <w:rFonts w:ascii="Times New Roman" w:hAnsi="Times New Roman" w:eastAsia="Times New Roman"/>
          <w:sz w:val="24"/>
          <w:szCs w:val="24"/>
          <w:lang w:eastAsia="hr-HR"/>
        </w:rPr>
      </w:pPr>
    </w:p>
    <w:p w14:paraId="687BE58F">
      <w:pPr>
        <w:pStyle w:val="39"/>
        <w:numPr>
          <w:ilvl w:val="0"/>
          <w:numId w:val="2"/>
        </w:num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upis u odgovarajući registar (trgovački, obrtnički, udruga, ustanova)</w:t>
      </w:r>
    </w:p>
    <w:p w14:paraId="74227F61">
      <w:pPr>
        <w:pStyle w:val="39"/>
        <w:numPr>
          <w:ilvl w:val="0"/>
          <w:numId w:val="2"/>
        </w:num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organizacijski kapaciteti i ljudski resurse za provedbu projekta i transparentno upravljanje javnim sredstvima</w:t>
      </w:r>
    </w:p>
    <w:p w14:paraId="6A7DA3AC">
      <w:pPr>
        <w:pStyle w:val="39"/>
        <w:numPr>
          <w:ilvl w:val="0"/>
          <w:numId w:val="2"/>
        </w:num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nepostojanje dugovanja iz pozicija javnih davanja</w:t>
      </w:r>
    </w:p>
    <w:p w14:paraId="70FCEC00">
      <w:pPr>
        <w:pStyle w:val="39"/>
        <w:numPr>
          <w:ilvl w:val="0"/>
          <w:numId w:val="2"/>
        </w:num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uredno podmirene obveze plaćanja naknade za pravo lova</w:t>
      </w:r>
    </w:p>
    <w:p w14:paraId="31F6B922">
      <w:pPr>
        <w:pStyle w:val="39"/>
        <w:numPr>
          <w:ilvl w:val="0"/>
          <w:numId w:val="2"/>
        </w:num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uvjerenje da se protiv prijavitelja (udruga, obrt, trgovačko društvo, ustanova) ne vodi kazneni postupak</w:t>
      </w:r>
    </w:p>
    <w:p w14:paraId="61290E03">
      <w:pPr>
        <w:pStyle w:val="39"/>
        <w:numPr>
          <w:ilvl w:val="0"/>
          <w:numId w:val="2"/>
        </w:num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uvjerenje da se protiv osobe ovlaštene za zastupanje ne vodi kazneni postupak.</w:t>
      </w:r>
    </w:p>
    <w:p w14:paraId="7F0B7FEC">
      <w:pPr>
        <w:autoSpaceDE w:val="0"/>
        <w:autoSpaceDN w:val="0"/>
        <w:adjustRightInd w:val="0"/>
        <w:spacing w:after="0" w:line="240" w:lineRule="auto"/>
        <w:jc w:val="both"/>
        <w:rPr>
          <w:rFonts w:ascii="Times New Roman" w:hAnsi="Times New Roman"/>
          <w:sz w:val="24"/>
          <w:szCs w:val="24"/>
        </w:rPr>
      </w:pPr>
    </w:p>
    <w:p w14:paraId="7737841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Ukoliko je prijavitelj </w:t>
      </w:r>
      <w:r>
        <w:rPr>
          <w:rFonts w:ascii="Times New Roman" w:hAnsi="Times New Roman" w:eastAsia="PMingLiU"/>
          <w:sz w:val="24"/>
          <w:szCs w:val="24"/>
          <w:lang w:eastAsia="zh-TW"/>
        </w:rPr>
        <w:t>već koristio bespovratna novčana sredstva iz nekih drugih izvora za istu namjenu neće moći biti sufinanciran po ovom Javnom pozivu.</w:t>
      </w:r>
    </w:p>
    <w:p w14:paraId="27D30381">
      <w:pPr>
        <w:jc w:val="both"/>
        <w:rPr>
          <w:rFonts w:ascii="Times New Roman" w:hAnsi="Times New Roman" w:eastAsia="Times New Roman"/>
          <w:b/>
          <w:sz w:val="24"/>
          <w:szCs w:val="24"/>
          <w:lang w:eastAsia="hr-HR"/>
        </w:rPr>
      </w:pPr>
      <w:r>
        <w:rPr>
          <w:rFonts w:ascii="Times New Roman" w:hAnsi="Times New Roman" w:eastAsiaTheme="minorHAnsi"/>
          <w:sz w:val="24"/>
          <w:szCs w:val="24"/>
        </w:rPr>
        <w:t xml:space="preserve">Prihvatljivi prijavitelj mora ispunjavati sve uvjete propisane ovim Javnim pozivom i Uputama za prijavitelje. </w:t>
      </w:r>
    </w:p>
    <w:p w14:paraId="653A38AA">
      <w:pPr>
        <w:pStyle w:val="39"/>
        <w:numPr>
          <w:ilvl w:val="0"/>
          <w:numId w:val="1"/>
        </w:numPr>
        <w:spacing w:after="0" w:line="240" w:lineRule="auto"/>
        <w:jc w:val="both"/>
        <w:rPr>
          <w:rFonts w:ascii="Times New Roman" w:hAnsi="Times New Roman" w:eastAsia="Times New Roman"/>
          <w:b/>
          <w:sz w:val="24"/>
          <w:szCs w:val="24"/>
          <w:lang w:eastAsia="hr-HR"/>
        </w:rPr>
      </w:pPr>
      <w:r>
        <w:rPr>
          <w:rFonts w:ascii="Times New Roman" w:hAnsi="Times New Roman" w:eastAsia="Times New Roman"/>
          <w:b/>
          <w:sz w:val="24"/>
          <w:szCs w:val="24"/>
          <w:lang w:eastAsia="hr-HR"/>
        </w:rPr>
        <w:t xml:space="preserve">MJERE, AKTIVNOSTI, PRIHVATLJIVI TROŠKOVI, KRITERIJI ZA DODJELU </w:t>
      </w:r>
    </w:p>
    <w:p w14:paraId="059CB292">
      <w:pPr>
        <w:pStyle w:val="39"/>
        <w:spacing w:after="0" w:line="240" w:lineRule="auto"/>
        <w:jc w:val="both"/>
        <w:rPr>
          <w:rFonts w:ascii="Times New Roman" w:hAnsi="Times New Roman" w:eastAsia="Times New Roman"/>
          <w:b/>
          <w:sz w:val="24"/>
          <w:szCs w:val="24"/>
          <w:lang w:eastAsia="hr-HR"/>
        </w:rPr>
      </w:pPr>
      <w:r>
        <w:rPr>
          <w:rFonts w:ascii="Times New Roman" w:hAnsi="Times New Roman" w:eastAsia="Times New Roman"/>
          <w:b/>
          <w:sz w:val="24"/>
          <w:szCs w:val="24"/>
          <w:lang w:eastAsia="hr-HR"/>
        </w:rPr>
        <w:t>I IZNOSI BESPOVRATNIH NOVČANIH POTPORA</w:t>
      </w:r>
    </w:p>
    <w:p w14:paraId="677B3239">
      <w:pPr>
        <w:pStyle w:val="39"/>
        <w:spacing w:after="0" w:line="240" w:lineRule="auto"/>
        <w:jc w:val="both"/>
        <w:rPr>
          <w:rFonts w:ascii="Times New Roman" w:hAnsi="Times New Roman" w:eastAsia="Times New Roman"/>
          <w:b/>
          <w:sz w:val="16"/>
          <w:szCs w:val="16"/>
          <w:lang w:eastAsia="hr-HR"/>
        </w:rPr>
      </w:pPr>
    </w:p>
    <w:p w14:paraId="7C42B4D5">
      <w:pPr>
        <w:spacing w:after="0" w:line="240" w:lineRule="auto"/>
        <w:jc w:val="both"/>
        <w:rPr>
          <w:rFonts w:ascii="Times New Roman" w:hAnsi="Times New Roman" w:eastAsia="Times New Roman"/>
          <w:b/>
          <w:sz w:val="24"/>
          <w:szCs w:val="24"/>
          <w:lang w:eastAsia="hr-HR"/>
        </w:rPr>
      </w:pPr>
      <w:r>
        <w:rPr>
          <w:rFonts w:ascii="Times New Roman" w:hAnsi="Times New Roman" w:eastAsia="Times New Roman"/>
          <w:b/>
          <w:sz w:val="24"/>
          <w:szCs w:val="24"/>
          <w:lang w:eastAsia="hr-HR"/>
        </w:rPr>
        <w:t>Mjera 1. Razvoj i unaprjeđenje lovstva</w:t>
      </w:r>
    </w:p>
    <w:p w14:paraId="26204073">
      <w:pPr>
        <w:spacing w:after="0" w:line="240" w:lineRule="auto"/>
        <w:jc w:val="center"/>
        <w:rPr>
          <w:rFonts w:ascii="Times New Roman" w:hAnsi="Times New Roman" w:eastAsia="Times New Roman"/>
          <w:b/>
          <w:sz w:val="16"/>
          <w:szCs w:val="16"/>
          <w:lang w:eastAsia="hr-HR"/>
        </w:rPr>
      </w:pPr>
    </w:p>
    <w:p w14:paraId="3E553300">
      <w:pPr>
        <w:shd w:val="clear" w:color="auto" w:fill="FFFFFF" w:themeFill="background1"/>
        <w:spacing w:after="0" w:line="240" w:lineRule="auto"/>
        <w:jc w:val="both"/>
        <w:rPr>
          <w:rFonts w:ascii="Times New Roman" w:hAnsi="Times New Roman" w:eastAsia="Times New Roman"/>
          <w:bCs/>
          <w:sz w:val="24"/>
          <w:szCs w:val="24"/>
          <w:lang w:val="en-US" w:eastAsia="hr-HR"/>
        </w:rPr>
      </w:pPr>
      <w:r>
        <w:rPr>
          <w:rFonts w:ascii="Times New Roman" w:hAnsi="Times New Roman" w:eastAsia="Times New Roman"/>
          <w:b/>
          <w:sz w:val="24"/>
          <w:szCs w:val="24"/>
          <w:lang w:eastAsia="hr-HR"/>
        </w:rPr>
        <w:t xml:space="preserve">Opis mjere: </w:t>
      </w:r>
      <w:r>
        <w:rPr>
          <w:rFonts w:ascii="Times New Roman" w:hAnsi="Times New Roman" w:eastAsia="Times New Roman"/>
          <w:bCs/>
          <w:sz w:val="24"/>
          <w:szCs w:val="24"/>
          <w:lang w:eastAsia="hr-HR"/>
        </w:rPr>
        <w:t xml:space="preserve">Gospodarenje s divljači i lovištem uvjet je za dobro lovno gospodarenje s ciljem </w:t>
      </w:r>
      <w:r>
        <w:rPr>
          <w:rFonts w:ascii="Times New Roman" w:hAnsi="Times New Roman" w:eastAsia="Times New Roman"/>
          <w:sz w:val="24"/>
          <w:szCs w:val="24"/>
          <w:lang w:eastAsia="hr-HR"/>
        </w:rPr>
        <w:t>osiguravanja potrajnog gospodarenja s divljači i potrajnog korištenje prava lova, zaštite i očuvanja biološke i ekološke ravnoteže prirodnih staništa divljači i drugih životinjskih vrsta koj</w:t>
      </w:r>
      <w:r>
        <w:rPr>
          <w:rFonts w:ascii="Times New Roman" w:hAnsi="Times New Roman" w:eastAsia="Times New Roman"/>
          <w:sz w:val="24"/>
          <w:szCs w:val="24"/>
          <w:lang w:val="en-US" w:eastAsia="hr-HR"/>
        </w:rPr>
        <w:t xml:space="preserve">e </w:t>
      </w:r>
      <w:r>
        <w:rPr>
          <w:rFonts w:ascii="Times New Roman" w:hAnsi="Times New Roman" w:eastAsia="Times New Roman"/>
          <w:sz w:val="24"/>
          <w:szCs w:val="24"/>
          <w:lang w:eastAsia="hr-HR"/>
        </w:rPr>
        <w:t xml:space="preserve">ne štete drugim ekosustavima, a sve sukladno Zakonu o lovstvu i </w:t>
      </w:r>
      <w:r>
        <w:rPr>
          <w:rFonts w:ascii="Times New Roman" w:hAnsi="Times New Roman" w:eastAsia="Times New Roman"/>
          <w:sz w:val="24"/>
          <w:szCs w:val="24"/>
          <w:lang w:val="en-US" w:eastAsia="hr-HR"/>
        </w:rPr>
        <w:t xml:space="preserve">pripadajućim podzakonskim aktima. </w:t>
      </w:r>
      <w:r>
        <w:rPr>
          <w:rFonts w:ascii="Times New Roman" w:hAnsi="Times New Roman" w:eastAsia="Times New Roman"/>
          <w:bCs/>
          <w:sz w:val="24"/>
          <w:szCs w:val="24"/>
          <w:lang w:eastAsia="hr-HR"/>
        </w:rPr>
        <w:t>Jedan od važnih čimbenika u funkciji razvoja lovnog turizma je izgrađena i opremljena</w:t>
      </w:r>
      <w:r>
        <w:rPr>
          <w:rFonts w:ascii="Times New Roman" w:hAnsi="Times New Roman" w:eastAsia="Times New Roman"/>
          <w:bCs/>
          <w:sz w:val="24"/>
          <w:szCs w:val="24"/>
          <w:lang w:val="en-US" w:eastAsia="hr-HR"/>
        </w:rPr>
        <w:t xml:space="preserve"> lovna infrastruktura, odnosno </w:t>
      </w:r>
      <w:r>
        <w:rPr>
          <w:rFonts w:ascii="Times New Roman" w:hAnsi="Times New Roman" w:eastAsia="Times New Roman"/>
          <w:bCs/>
          <w:sz w:val="24"/>
          <w:szCs w:val="24"/>
          <w:lang w:eastAsia="hr-HR"/>
        </w:rPr>
        <w:t>lovnogospodarski i</w:t>
      </w:r>
      <w:r>
        <w:rPr>
          <w:rFonts w:ascii="Times New Roman" w:hAnsi="Times New Roman" w:eastAsia="Times New Roman"/>
          <w:bCs/>
          <w:sz w:val="24"/>
          <w:szCs w:val="24"/>
          <w:lang w:val="en-US" w:eastAsia="hr-HR"/>
        </w:rPr>
        <w:t xml:space="preserve"> </w:t>
      </w:r>
      <w:r>
        <w:rPr>
          <w:rFonts w:ascii="Times New Roman" w:hAnsi="Times New Roman" w:eastAsia="Times New Roman"/>
          <w:bCs/>
          <w:sz w:val="24"/>
          <w:szCs w:val="24"/>
          <w:lang w:eastAsia="hr-HR"/>
        </w:rPr>
        <w:t xml:space="preserve">lovnotehnički </w:t>
      </w:r>
      <w:r>
        <w:rPr>
          <w:rFonts w:ascii="Times New Roman" w:hAnsi="Times New Roman" w:eastAsia="Times New Roman"/>
          <w:bCs/>
          <w:color w:val="000000" w:themeColor="text1"/>
          <w:sz w:val="24"/>
          <w:szCs w:val="24"/>
          <w:lang w:eastAsia="hr-HR"/>
          <w14:textFill>
            <w14:solidFill>
              <w14:schemeClr w14:val="tx1"/>
            </w14:solidFill>
          </w14:textFill>
        </w:rPr>
        <w:t xml:space="preserve">objekti </w:t>
      </w:r>
      <w:r>
        <w:rPr>
          <w:rFonts w:ascii="Times New Roman" w:hAnsi="Times New Roman" w:eastAsia="Times New Roman"/>
          <w:bCs/>
          <w:sz w:val="24"/>
          <w:szCs w:val="24"/>
          <w:lang w:eastAsia="hr-HR"/>
        </w:rPr>
        <w:t>koji su propisani lovnogospodarskom osnovom, izgrađeni i opremljeni sa svrhom lovnog gospodarenja, kao i sa svrhom razvoja lovnog turizm</w:t>
      </w:r>
      <w:r>
        <w:rPr>
          <w:rFonts w:ascii="Times New Roman" w:hAnsi="Times New Roman" w:eastAsia="Times New Roman"/>
          <w:bCs/>
          <w:sz w:val="24"/>
          <w:szCs w:val="24"/>
          <w:lang w:val="en-US" w:eastAsia="hr-HR"/>
        </w:rPr>
        <w:t>a.</w:t>
      </w:r>
    </w:p>
    <w:p w14:paraId="65925BD1">
      <w:pPr>
        <w:shd w:val="clear" w:color="auto" w:fill="FFFFFF" w:themeFill="background1"/>
        <w:tabs>
          <w:tab w:val="left" w:pos="2081"/>
        </w:tabs>
        <w:spacing w:after="0" w:line="240" w:lineRule="auto"/>
        <w:jc w:val="both"/>
        <w:rPr>
          <w:rFonts w:ascii="Times New Roman" w:hAnsi="Times New Roman" w:eastAsia="Times New Roman"/>
          <w:bCs/>
          <w:sz w:val="16"/>
          <w:szCs w:val="16"/>
          <w:lang w:eastAsia="hr-HR"/>
        </w:rPr>
      </w:pPr>
    </w:p>
    <w:p w14:paraId="3AD95271">
      <w:pPr>
        <w:spacing w:after="0" w:line="240" w:lineRule="auto"/>
        <w:jc w:val="both"/>
        <w:rPr>
          <w:rFonts w:ascii="Times New Roman" w:hAnsi="Times New Roman" w:eastAsia="Times New Roman"/>
          <w:b/>
          <w:sz w:val="24"/>
          <w:szCs w:val="24"/>
          <w:lang w:eastAsia="hr-HR"/>
        </w:rPr>
      </w:pPr>
      <w:bookmarkStart w:id="2" w:name="_Hlk171071953"/>
      <w:r>
        <w:rPr>
          <w:rFonts w:ascii="Times New Roman" w:hAnsi="Times New Roman" w:eastAsia="Times New Roman"/>
          <w:b/>
          <w:sz w:val="24"/>
          <w:szCs w:val="24"/>
          <w:lang w:eastAsia="hr-HR"/>
        </w:rPr>
        <w:t>Prihvatljive aktivnosti:</w:t>
      </w:r>
    </w:p>
    <w:p w14:paraId="3E3C9A02">
      <w:pPr>
        <w:numPr>
          <w:ilvl w:val="1"/>
          <w:numId w:val="3"/>
        </w:numPr>
        <w:spacing w:after="0" w:line="280" w:lineRule="exact"/>
        <w:jc w:val="both"/>
        <w:rPr>
          <w:rFonts w:ascii="Times New Roman" w:hAnsi="Times New Roman" w:eastAsiaTheme="minorHAnsi"/>
          <w:kern w:val="2"/>
          <w:sz w:val="24"/>
          <w:szCs w:val="24"/>
          <w:lang w:eastAsia="hr-HR"/>
          <w14:ligatures w14:val="standardContextual"/>
        </w:rPr>
      </w:pPr>
      <w:r>
        <w:rPr>
          <w:rFonts w:ascii="Times New Roman" w:hAnsi="Times New Roman" w:eastAsia="Times New Roman"/>
          <w:bCs/>
          <w:sz w:val="24"/>
          <w:szCs w:val="24"/>
          <w:lang w:eastAsia="hr-HR"/>
        </w:rPr>
        <w:t>Kupnja, gradnja, rekonstrukcija,</w:t>
      </w:r>
      <w:r>
        <w:rPr>
          <w:sz w:val="24"/>
          <w:szCs w:val="24"/>
        </w:rPr>
        <w:t xml:space="preserve"> </w:t>
      </w:r>
      <w:r>
        <w:rPr>
          <w:rFonts w:ascii="Times New Roman" w:hAnsi="Times New Roman" w:eastAsia="Times New Roman"/>
          <w:bCs/>
          <w:sz w:val="24"/>
          <w:szCs w:val="24"/>
          <w:lang w:eastAsia="hr-HR"/>
        </w:rPr>
        <w:t xml:space="preserve">adaptacija, uređenje, opremanje i troškovi priključaka (struja, voda, plin, odvodnja i dr.) lovačkih domova i pomoćnih objekata uz lovačke domove </w:t>
      </w:r>
      <w:r>
        <w:rPr>
          <w:rFonts w:ascii="Times New Roman" w:hAnsi="Times New Roman"/>
          <w:bCs/>
          <w:sz w:val="24"/>
          <w:szCs w:val="24"/>
        </w:rPr>
        <w:t xml:space="preserve">(pomoćne zgrade, nadstrešnice i dr.) </w:t>
      </w:r>
      <w:r>
        <w:rPr>
          <w:rFonts w:ascii="Times New Roman" w:hAnsi="Times New Roman" w:eastAsia="Times New Roman"/>
          <w:bCs/>
          <w:sz w:val="24"/>
          <w:szCs w:val="24"/>
          <w:lang w:eastAsia="hr-HR"/>
        </w:rPr>
        <w:t>te</w:t>
      </w:r>
      <w:r>
        <w:rPr>
          <w:sz w:val="24"/>
          <w:szCs w:val="24"/>
        </w:rPr>
        <w:t xml:space="preserve"> </w:t>
      </w:r>
      <w:r>
        <w:rPr>
          <w:rFonts w:ascii="Times New Roman" w:hAnsi="Times New Roman" w:eastAsia="Times New Roman"/>
          <w:bCs/>
          <w:sz w:val="24"/>
          <w:szCs w:val="24"/>
          <w:lang w:eastAsia="hr-HR"/>
        </w:rPr>
        <w:t>troškovi projektne dokumentacije koji se odnose na lovačke domove</w:t>
      </w:r>
      <w:r>
        <w:rPr>
          <w:rFonts w:ascii="Times New Roman" w:hAnsi="Times New Roman"/>
          <w:bCs/>
          <w:sz w:val="24"/>
          <w:szCs w:val="24"/>
        </w:rPr>
        <w:t xml:space="preserve"> i navedene pomoćne objekte</w:t>
      </w:r>
    </w:p>
    <w:p w14:paraId="35ED1A37">
      <w:pPr>
        <w:spacing w:after="0" w:line="280" w:lineRule="exact"/>
        <w:ind w:left="1134" w:hanging="425"/>
        <w:jc w:val="both"/>
        <w:rPr>
          <w:rFonts w:ascii="Times New Roman" w:hAnsi="Times New Roman" w:eastAsiaTheme="minorHAnsi"/>
          <w:kern w:val="2"/>
          <w:sz w:val="24"/>
          <w:szCs w:val="24"/>
          <w14:ligatures w14:val="standardContextual"/>
        </w:rPr>
      </w:pPr>
      <w:r>
        <w:rPr>
          <w:rFonts w:ascii="Times New Roman" w:hAnsi="Times New Roman" w:eastAsiaTheme="minorHAnsi"/>
          <w:kern w:val="2"/>
          <w:sz w:val="24"/>
          <w:szCs w:val="24"/>
          <w14:ligatures w14:val="standardContextual"/>
        </w:rPr>
        <w:t>1.2. Gradnja, rekonstrukcija i opremanje stacionarnih hladnjača za prihvat mesa divljači i objekata za obradu   i skladištenje odstrijeljene divljači</w:t>
      </w:r>
    </w:p>
    <w:p w14:paraId="64138180">
      <w:pPr>
        <w:spacing w:after="0" w:line="280" w:lineRule="exact"/>
        <w:ind w:left="1134" w:hanging="1276"/>
        <w:rPr>
          <w:rFonts w:ascii="Times New Roman" w:hAnsi="Times New Roman" w:eastAsia="Times New Roman"/>
          <w:kern w:val="2"/>
          <w:sz w:val="24"/>
          <w:szCs w:val="24"/>
          <w:lang w:val="en-US"/>
          <w14:ligatures w14:val="standardContextual"/>
        </w:rPr>
      </w:pPr>
      <w:r>
        <w:rPr>
          <w:rFonts w:ascii="Times New Roman" w:hAnsi="Times New Roman" w:eastAsiaTheme="minorHAnsi"/>
          <w:kern w:val="2"/>
          <w:sz w:val="24"/>
          <w:szCs w:val="24"/>
          <w14:ligatures w14:val="standardContextual"/>
        </w:rPr>
        <w:t xml:space="preserve">              1.3. Unaprjeđenje  lovnotehničkih  i  lovnogospodarskih objekata</w:t>
      </w:r>
      <w:r>
        <w:rPr>
          <w:rFonts w:ascii="Times New Roman" w:hAnsi="Times New Roman" w:eastAsia="Times New Roman"/>
          <w:kern w:val="2"/>
          <w:sz w:val="24"/>
          <w:szCs w:val="24"/>
          <w14:ligatures w14:val="standardContextual"/>
        </w:rPr>
        <w:t xml:space="preserve"> (hranilišta,  pojilišta,  solišta,</w:t>
      </w:r>
      <w:r>
        <w:rPr>
          <w:rFonts w:ascii="Times New Roman" w:hAnsi="Times New Roman" w:eastAsia="Times New Roman"/>
          <w:kern w:val="2"/>
          <w:sz w:val="24"/>
          <w:szCs w:val="24"/>
          <w:lang w:val="en-US"/>
          <w14:ligatures w14:val="standardContextual"/>
        </w:rPr>
        <w:t xml:space="preserve">   </w:t>
      </w:r>
    </w:p>
    <w:p w14:paraId="5B5BFD51">
      <w:pPr>
        <w:spacing w:after="0" w:line="280" w:lineRule="exact"/>
        <w:ind w:left="1134"/>
        <w:rPr>
          <w:rFonts w:ascii="Times New Roman" w:hAnsi="Times New Roman" w:eastAsiaTheme="minorHAnsi"/>
          <w:b/>
          <w:bCs/>
          <w:kern w:val="2"/>
          <w:sz w:val="24"/>
          <w:szCs w:val="24"/>
          <w:shd w:val="clear" w:color="auto" w:fill="EEECD1"/>
          <w14:ligatures w14:val="standardContextual"/>
        </w:rPr>
      </w:pPr>
      <w:r>
        <w:rPr>
          <w:rFonts w:ascii="Times New Roman" w:hAnsi="Times New Roman" w:eastAsia="Times New Roman"/>
          <w:kern w:val="2"/>
          <w:sz w:val="24"/>
          <w:szCs w:val="24"/>
          <w14:ligatures w14:val="standardContextual"/>
        </w:rPr>
        <w:t>spremišta za hranu, sabirališta i zimovališta za pernatu divljač, ograde, uskočnice, kolibe i dr.)</w:t>
      </w:r>
      <w:r>
        <w:rPr>
          <w:rFonts w:ascii="Times New Roman" w:hAnsi="Times New Roman" w:eastAsiaTheme="minorHAnsi"/>
          <w:b/>
          <w:bCs/>
          <w:kern w:val="2"/>
          <w:sz w:val="24"/>
          <w:szCs w:val="24"/>
          <w:shd w:val="clear" w:color="auto" w:fill="EEECD1"/>
          <w14:ligatures w14:val="standardContextual"/>
        </w:rPr>
        <w:t xml:space="preserve"> </w:t>
      </w:r>
    </w:p>
    <w:p w14:paraId="7311E2E4">
      <w:pPr>
        <w:spacing w:after="0" w:line="240" w:lineRule="auto"/>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            1.4. Unos krupne i sitne divljači u lovište </w:t>
      </w:r>
    </w:p>
    <w:p w14:paraId="103A3633">
      <w:pPr>
        <w:spacing w:after="0" w:line="240" w:lineRule="auto"/>
        <w:jc w:val="both"/>
        <w:rPr>
          <w:rFonts w:ascii="Times New Roman" w:hAnsi="Times New Roman" w:eastAsia="Times New Roman"/>
          <w:bCs/>
          <w:sz w:val="16"/>
          <w:szCs w:val="16"/>
          <w:lang w:eastAsia="hr-HR"/>
        </w:rPr>
      </w:pPr>
    </w:p>
    <w:bookmarkEnd w:id="2"/>
    <w:p w14:paraId="243DEF43">
      <w:pPr>
        <w:spacing w:after="0" w:line="240" w:lineRule="auto"/>
        <w:jc w:val="both"/>
        <w:rPr>
          <w:rFonts w:ascii="Times New Roman" w:hAnsi="Times New Roman" w:eastAsiaTheme="minorHAnsi"/>
          <w:b/>
          <w:sz w:val="24"/>
          <w:szCs w:val="24"/>
          <w:u w:val="single"/>
        </w:rPr>
      </w:pPr>
      <w:r>
        <w:rPr>
          <w:rFonts w:ascii="Times New Roman" w:hAnsi="Times New Roman" w:eastAsia="Times New Roman"/>
          <w:b/>
          <w:sz w:val="24"/>
          <w:szCs w:val="24"/>
          <w:u w:val="single"/>
          <w:lang w:eastAsia="hr-HR"/>
        </w:rPr>
        <w:t>Aktivnost 1.1.  Kupnja, gradnja, rekonstrukcija,</w:t>
      </w:r>
      <w:r>
        <w:rPr>
          <w:b/>
          <w:sz w:val="24"/>
          <w:szCs w:val="24"/>
          <w:u w:val="single"/>
        </w:rPr>
        <w:t xml:space="preserve"> </w:t>
      </w:r>
      <w:r>
        <w:rPr>
          <w:rFonts w:ascii="Times New Roman" w:hAnsi="Times New Roman" w:eastAsia="Times New Roman"/>
          <w:b/>
          <w:sz w:val="24"/>
          <w:szCs w:val="24"/>
          <w:u w:val="single"/>
          <w:lang w:eastAsia="hr-HR"/>
        </w:rPr>
        <w:t xml:space="preserve">adaptacija, uređenje, opremanje i troškovi priključaka (struja, voda, plin, odvodnja i dr.) lovačkih domova i pomoćnih objekata uz lovačke domove </w:t>
      </w:r>
      <w:r>
        <w:rPr>
          <w:rFonts w:ascii="Times New Roman" w:hAnsi="Times New Roman"/>
          <w:b/>
          <w:sz w:val="24"/>
          <w:szCs w:val="24"/>
          <w:u w:val="single"/>
        </w:rPr>
        <w:t xml:space="preserve">(pomoćne zgrade, nadstrešnice i dr.) </w:t>
      </w:r>
      <w:r>
        <w:rPr>
          <w:rFonts w:ascii="Times New Roman" w:hAnsi="Times New Roman" w:eastAsia="Times New Roman"/>
          <w:b/>
          <w:sz w:val="24"/>
          <w:szCs w:val="24"/>
          <w:u w:val="single"/>
          <w:lang w:eastAsia="hr-HR"/>
        </w:rPr>
        <w:t>te</w:t>
      </w:r>
      <w:r>
        <w:rPr>
          <w:b/>
          <w:sz w:val="24"/>
          <w:szCs w:val="24"/>
          <w:u w:val="single"/>
        </w:rPr>
        <w:t xml:space="preserve"> </w:t>
      </w:r>
      <w:r>
        <w:rPr>
          <w:rFonts w:ascii="Times New Roman" w:hAnsi="Times New Roman" w:eastAsia="Times New Roman"/>
          <w:b/>
          <w:sz w:val="24"/>
          <w:szCs w:val="24"/>
          <w:u w:val="single"/>
          <w:lang w:eastAsia="hr-HR"/>
        </w:rPr>
        <w:t>troškovi projektne dokumentacije koji se odnose na lovačke domove</w:t>
      </w:r>
      <w:r>
        <w:rPr>
          <w:rFonts w:ascii="Times New Roman" w:hAnsi="Times New Roman"/>
          <w:b/>
          <w:sz w:val="24"/>
          <w:szCs w:val="24"/>
          <w:u w:val="single"/>
        </w:rPr>
        <w:t xml:space="preserve"> i navedene pomoćne objekte</w:t>
      </w:r>
    </w:p>
    <w:p w14:paraId="7710A1AC">
      <w:pPr>
        <w:spacing w:after="0" w:line="240" w:lineRule="auto"/>
        <w:ind w:firstLine="708"/>
        <w:jc w:val="both"/>
        <w:rPr>
          <w:rFonts w:ascii="Times New Roman" w:hAnsi="Times New Roman" w:eastAsia="Times New Roman"/>
          <w:b/>
          <w:sz w:val="24"/>
          <w:szCs w:val="24"/>
          <w:lang w:eastAsia="hr-HR"/>
        </w:rPr>
      </w:pPr>
      <w:r>
        <w:rPr>
          <w:rFonts w:ascii="Times New Roman" w:hAnsi="Times New Roman" w:eastAsia="Times New Roman"/>
          <w:b/>
          <w:sz w:val="24"/>
          <w:szCs w:val="24"/>
          <w:lang w:eastAsia="hr-HR"/>
        </w:rPr>
        <w:t xml:space="preserve">Prihvatljivi troškovi: </w:t>
      </w:r>
    </w:p>
    <w:p w14:paraId="54173680">
      <w:pPr>
        <w:spacing w:after="0" w:line="240" w:lineRule="auto"/>
        <w:ind w:left="709" w:hanging="709"/>
        <w:jc w:val="both"/>
        <w:rPr>
          <w:rFonts w:ascii="Times New Roman" w:hAnsi="Times New Roman" w:eastAsiaTheme="minorHAnsi"/>
          <w:bCs/>
          <w:sz w:val="24"/>
          <w:szCs w:val="24"/>
        </w:rPr>
      </w:pPr>
      <w:r>
        <w:rPr>
          <w:rFonts w:ascii="Times New Roman" w:hAnsi="Times New Roman" w:eastAsia="Times New Roman"/>
          <w:bCs/>
          <w:sz w:val="24"/>
          <w:szCs w:val="24"/>
          <w:lang w:eastAsia="hr-HR"/>
        </w:rPr>
        <w:t xml:space="preserve">            Kupnja, gradnja, rekonstrukcija,</w:t>
      </w:r>
      <w:r>
        <w:rPr>
          <w:sz w:val="24"/>
          <w:szCs w:val="24"/>
        </w:rPr>
        <w:t xml:space="preserve"> </w:t>
      </w:r>
      <w:r>
        <w:rPr>
          <w:rFonts w:ascii="Times New Roman" w:hAnsi="Times New Roman" w:eastAsia="Times New Roman"/>
          <w:bCs/>
          <w:sz w:val="24"/>
          <w:szCs w:val="24"/>
          <w:lang w:eastAsia="hr-HR"/>
        </w:rPr>
        <w:t xml:space="preserve">adaptacija, uređenje, opremanje i troškovi priključaka (struja, voda, plin, odvodnja i dr.) lovačkih domova i pomoćnih objekata uz lovačke domove </w:t>
      </w:r>
      <w:r>
        <w:rPr>
          <w:rFonts w:ascii="Times New Roman" w:hAnsi="Times New Roman"/>
          <w:bCs/>
          <w:sz w:val="24"/>
          <w:szCs w:val="24"/>
        </w:rPr>
        <w:t xml:space="preserve">(pomoćne zgrade, nadstrešnice i dr.) </w:t>
      </w:r>
      <w:r>
        <w:rPr>
          <w:rFonts w:ascii="Times New Roman" w:hAnsi="Times New Roman" w:eastAsia="Times New Roman"/>
          <w:bCs/>
          <w:sz w:val="24"/>
          <w:szCs w:val="24"/>
          <w:lang w:eastAsia="hr-HR"/>
        </w:rPr>
        <w:t>te</w:t>
      </w:r>
      <w:r>
        <w:rPr>
          <w:sz w:val="24"/>
          <w:szCs w:val="24"/>
        </w:rPr>
        <w:t xml:space="preserve"> </w:t>
      </w:r>
      <w:r>
        <w:rPr>
          <w:rFonts w:ascii="Times New Roman" w:hAnsi="Times New Roman" w:eastAsia="Times New Roman"/>
          <w:bCs/>
          <w:sz w:val="24"/>
          <w:szCs w:val="24"/>
          <w:lang w:eastAsia="hr-HR"/>
        </w:rPr>
        <w:t>troškovi projektne dokumentacije koji se odnose na lovačke domove</w:t>
      </w:r>
      <w:r>
        <w:rPr>
          <w:rFonts w:ascii="Times New Roman" w:hAnsi="Times New Roman"/>
          <w:bCs/>
          <w:sz w:val="24"/>
          <w:szCs w:val="24"/>
        </w:rPr>
        <w:t xml:space="preserve"> i navedene pomoćne objekte.</w:t>
      </w:r>
    </w:p>
    <w:p w14:paraId="19929F73">
      <w:pPr>
        <w:spacing w:after="0" w:line="240" w:lineRule="auto"/>
        <w:jc w:val="both"/>
        <w:rPr>
          <w:rFonts w:ascii="Times New Roman" w:hAnsi="Times New Roman" w:eastAsia="Times New Roman"/>
          <w:b/>
          <w:sz w:val="24"/>
          <w:szCs w:val="24"/>
          <w:lang w:eastAsia="hr-HR"/>
        </w:rPr>
      </w:pPr>
      <w:r>
        <w:rPr>
          <w:rFonts w:ascii="Times New Roman" w:hAnsi="Times New Roman" w:eastAsia="Times New Roman"/>
          <w:bCs/>
          <w:sz w:val="24"/>
          <w:szCs w:val="24"/>
          <w:lang w:eastAsia="hr-HR"/>
        </w:rPr>
        <w:t xml:space="preserve">            </w:t>
      </w:r>
      <w:r>
        <w:rPr>
          <w:rFonts w:ascii="Times New Roman" w:hAnsi="Times New Roman" w:eastAsia="Times New Roman"/>
          <w:b/>
          <w:sz w:val="24"/>
          <w:szCs w:val="24"/>
          <w:lang w:eastAsia="hr-HR"/>
        </w:rPr>
        <w:t xml:space="preserve">Uvjeti za dodjelu bespovratne novčane potpore: </w:t>
      </w:r>
    </w:p>
    <w:p w14:paraId="28FBB52D">
      <w:pPr>
        <w:spacing w:after="0" w:line="240" w:lineRule="auto"/>
        <w:ind w:left="708"/>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Lovački dom mora biti u vlasništvu korisnika ili korisnik mora imati zaključen Ugovor o najmu na najmanje pet (5) godina.</w:t>
      </w:r>
    </w:p>
    <w:p w14:paraId="5B62543D">
      <w:pPr>
        <w:spacing w:after="0" w:line="240" w:lineRule="auto"/>
        <w:ind w:firstLine="708"/>
        <w:jc w:val="both"/>
        <w:rPr>
          <w:rFonts w:ascii="Times New Roman" w:hAnsi="Times New Roman" w:eastAsia="Times New Roman"/>
          <w:b/>
          <w:bCs/>
          <w:sz w:val="24"/>
          <w:szCs w:val="24"/>
          <w:lang w:eastAsia="hr-HR"/>
        </w:rPr>
      </w:pPr>
      <w:r>
        <w:rPr>
          <w:rFonts w:ascii="Times New Roman" w:hAnsi="Times New Roman" w:eastAsia="Times New Roman"/>
          <w:b/>
          <w:bCs/>
          <w:sz w:val="24"/>
          <w:szCs w:val="24"/>
          <w:lang w:eastAsia="hr-HR"/>
        </w:rPr>
        <w:t xml:space="preserve">Iznos bespovratne novčane potpore: </w:t>
      </w:r>
    </w:p>
    <w:p w14:paraId="6646A0A5">
      <w:pPr>
        <w:spacing w:after="0" w:line="240" w:lineRule="auto"/>
        <w:ind w:firstLine="708"/>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Do 75% iznosa prihvatljivih troškova sukladno plaćenim računima.</w:t>
      </w:r>
    </w:p>
    <w:p w14:paraId="3E8DB6C7">
      <w:pPr>
        <w:spacing w:after="0" w:line="240" w:lineRule="auto"/>
        <w:jc w:val="both"/>
        <w:rPr>
          <w:rFonts w:ascii="Times New Roman" w:hAnsi="Times New Roman" w:eastAsia="Times New Roman"/>
          <w:bCs/>
          <w:sz w:val="16"/>
          <w:szCs w:val="16"/>
          <w:vertAlign w:val="subscript"/>
          <w:lang w:eastAsia="hr-HR"/>
        </w:rPr>
      </w:pPr>
    </w:p>
    <w:p w14:paraId="5DA9CC27">
      <w:pPr>
        <w:spacing w:after="0" w:line="240" w:lineRule="auto"/>
        <w:jc w:val="both"/>
        <w:rPr>
          <w:rFonts w:ascii="Times New Roman" w:hAnsi="Times New Roman" w:eastAsiaTheme="minorHAnsi"/>
          <w:b/>
          <w:bCs/>
          <w:sz w:val="24"/>
          <w:szCs w:val="24"/>
          <w:u w:val="single"/>
        </w:rPr>
      </w:pPr>
      <w:bookmarkStart w:id="3" w:name="_Hlk32215801"/>
      <w:r>
        <w:rPr>
          <w:rFonts w:ascii="Times New Roman" w:hAnsi="Times New Roman" w:eastAsia="Times New Roman"/>
          <w:b/>
          <w:sz w:val="24"/>
          <w:szCs w:val="24"/>
          <w:u w:val="single"/>
          <w:lang w:eastAsia="hr-HR"/>
        </w:rPr>
        <w:t xml:space="preserve">Aktivnost 1.2. </w:t>
      </w:r>
      <w:r>
        <w:rPr>
          <w:rFonts w:ascii="Times New Roman" w:hAnsi="Times New Roman" w:eastAsiaTheme="minorHAnsi"/>
          <w:b/>
          <w:bCs/>
          <w:sz w:val="24"/>
          <w:szCs w:val="24"/>
          <w:u w:val="single"/>
        </w:rPr>
        <w:t xml:space="preserve">Gradnja, rekonstrukcija i opremanje stacionarnih hladnjača za prihvat mesa divljači </w:t>
      </w:r>
      <w:bookmarkStart w:id="4" w:name="_Hlk32215432"/>
      <w:r>
        <w:rPr>
          <w:rFonts w:ascii="Times New Roman" w:hAnsi="Times New Roman" w:eastAsiaTheme="minorHAnsi"/>
          <w:b/>
          <w:bCs/>
          <w:sz w:val="24"/>
          <w:szCs w:val="24"/>
          <w:u w:val="single"/>
        </w:rPr>
        <w:t>i objekata za obradu i skladištenje odstrijeljene divljači</w:t>
      </w:r>
      <w:bookmarkEnd w:id="4"/>
      <w:bookmarkStart w:id="5" w:name="_Hlk32219251"/>
    </w:p>
    <w:bookmarkEnd w:id="5"/>
    <w:p w14:paraId="5609E888">
      <w:pPr>
        <w:spacing w:after="0" w:line="240" w:lineRule="auto"/>
        <w:ind w:firstLine="708"/>
        <w:jc w:val="both"/>
        <w:rPr>
          <w:rFonts w:ascii="Times New Roman" w:hAnsi="Times New Roman" w:eastAsia="Times New Roman"/>
          <w:b/>
          <w:sz w:val="24"/>
          <w:szCs w:val="24"/>
          <w:lang w:eastAsia="hr-HR"/>
        </w:rPr>
      </w:pPr>
      <w:bookmarkStart w:id="6" w:name="_Hlk32218203"/>
      <w:r>
        <w:rPr>
          <w:rFonts w:ascii="Times New Roman" w:hAnsi="Times New Roman" w:eastAsia="Times New Roman"/>
          <w:b/>
          <w:sz w:val="24"/>
          <w:szCs w:val="24"/>
          <w:lang w:eastAsia="hr-HR"/>
        </w:rPr>
        <w:t xml:space="preserve">Prihvatljivi troškovi: </w:t>
      </w:r>
    </w:p>
    <w:p w14:paraId="552A869E">
      <w:pPr>
        <w:spacing w:after="0" w:line="280" w:lineRule="exact"/>
        <w:ind w:left="708"/>
        <w:jc w:val="both"/>
        <w:rPr>
          <w:rFonts w:ascii="Times New Roman" w:hAnsi="Times New Roman" w:eastAsiaTheme="minorHAnsi"/>
          <w:kern w:val="2"/>
          <w:sz w:val="24"/>
          <w:szCs w:val="24"/>
          <w:lang w:eastAsia="hr-HR"/>
          <w14:ligatures w14:val="standardContextual"/>
        </w:rPr>
      </w:pPr>
      <w:r>
        <w:rPr>
          <w:rFonts w:ascii="Times New Roman" w:hAnsi="Times New Roman" w:eastAsiaTheme="minorHAnsi"/>
          <w:kern w:val="2"/>
          <w:sz w:val="24"/>
          <w:szCs w:val="24"/>
          <w14:ligatures w14:val="standardContextual"/>
        </w:rPr>
        <w:t xml:space="preserve">Gradnja, rekonstrukcija i opremanje stacionarne hladnjače za prihvat mesa divljači i objekata za obradu i skladištenje odstrijeljene divljači. </w:t>
      </w:r>
    </w:p>
    <w:p w14:paraId="5B7B33BD">
      <w:pPr>
        <w:spacing w:after="0" w:line="240" w:lineRule="auto"/>
        <w:ind w:firstLine="708"/>
        <w:jc w:val="both"/>
        <w:rPr>
          <w:rFonts w:ascii="Times New Roman" w:hAnsi="Times New Roman" w:eastAsia="Times New Roman"/>
          <w:b/>
          <w:sz w:val="24"/>
          <w:szCs w:val="24"/>
          <w:lang w:eastAsia="hr-HR"/>
        </w:rPr>
      </w:pPr>
      <w:r>
        <w:rPr>
          <w:rFonts w:ascii="Times New Roman" w:hAnsi="Times New Roman" w:eastAsia="Times New Roman"/>
          <w:b/>
          <w:sz w:val="24"/>
          <w:szCs w:val="24"/>
          <w:lang w:eastAsia="hr-HR"/>
        </w:rPr>
        <w:t>Uvjeti za dodjelu bespovratne novčane potpore:</w:t>
      </w:r>
    </w:p>
    <w:p w14:paraId="207CB96C">
      <w:pPr>
        <w:spacing w:after="0" w:line="240" w:lineRule="auto"/>
        <w:ind w:left="708"/>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Objekt mora biti u vlasništvu korisnika ili korisnik mora imati zaključen Ugovor o najmu na najmanje pet (5) godina.</w:t>
      </w:r>
    </w:p>
    <w:p w14:paraId="6BE21CF4">
      <w:pPr>
        <w:spacing w:after="0" w:line="240" w:lineRule="auto"/>
        <w:ind w:firstLine="708"/>
        <w:jc w:val="both"/>
        <w:rPr>
          <w:rFonts w:ascii="Times New Roman" w:hAnsi="Times New Roman" w:eastAsia="Times New Roman"/>
          <w:b/>
          <w:bCs/>
          <w:sz w:val="24"/>
          <w:szCs w:val="24"/>
          <w:lang w:eastAsia="hr-HR"/>
        </w:rPr>
      </w:pPr>
      <w:r>
        <w:rPr>
          <w:rFonts w:ascii="Times New Roman" w:hAnsi="Times New Roman" w:eastAsia="Times New Roman"/>
          <w:b/>
          <w:bCs/>
          <w:sz w:val="24"/>
          <w:szCs w:val="24"/>
          <w:lang w:eastAsia="hr-HR"/>
        </w:rPr>
        <w:t xml:space="preserve">Iznos bespovratne novčane potpore: </w:t>
      </w:r>
    </w:p>
    <w:p w14:paraId="5C7DA9BC">
      <w:pPr>
        <w:spacing w:after="0" w:line="240" w:lineRule="auto"/>
        <w:ind w:firstLine="708"/>
        <w:jc w:val="both"/>
        <w:rPr>
          <w:rFonts w:ascii="Times New Roman" w:hAnsi="Times New Roman" w:eastAsia="Times New Roman"/>
          <w:b/>
          <w:sz w:val="24"/>
          <w:szCs w:val="24"/>
          <w:u w:val="single"/>
          <w:lang w:eastAsia="hr-HR"/>
        </w:rPr>
      </w:pPr>
      <w:r>
        <w:rPr>
          <w:rFonts w:ascii="Times New Roman" w:hAnsi="Times New Roman" w:eastAsia="Times New Roman"/>
          <w:bCs/>
          <w:sz w:val="24"/>
          <w:szCs w:val="24"/>
          <w:lang w:eastAsia="hr-HR"/>
        </w:rPr>
        <w:t>Do 75% iznosa prihvatljivih troškova sukladno plaćenim računima.</w:t>
      </w:r>
      <w:bookmarkEnd w:id="3"/>
      <w:bookmarkEnd w:id="6"/>
      <w:bookmarkStart w:id="7" w:name="_Hlk32231856"/>
    </w:p>
    <w:p w14:paraId="5BE57D1E">
      <w:pPr>
        <w:spacing w:after="0" w:line="240" w:lineRule="auto"/>
        <w:jc w:val="both"/>
        <w:rPr>
          <w:rFonts w:ascii="Times New Roman" w:hAnsi="Times New Roman" w:eastAsia="Times New Roman"/>
          <w:b/>
          <w:sz w:val="24"/>
          <w:szCs w:val="24"/>
          <w:u w:val="single"/>
          <w:lang w:eastAsia="hr-HR"/>
        </w:rPr>
      </w:pPr>
    </w:p>
    <w:p w14:paraId="0DFDD05A">
      <w:pPr>
        <w:spacing w:after="0" w:line="240" w:lineRule="auto"/>
        <w:jc w:val="both"/>
        <w:rPr>
          <w:rFonts w:ascii="Times New Roman" w:hAnsi="Times New Roman" w:eastAsia="Times New Roman"/>
          <w:b/>
          <w:bCs/>
          <w:sz w:val="24"/>
          <w:szCs w:val="24"/>
          <w:u w:val="single"/>
          <w:lang w:eastAsia="hr-HR"/>
        </w:rPr>
      </w:pPr>
      <w:r>
        <w:rPr>
          <w:rFonts w:ascii="Times New Roman" w:hAnsi="Times New Roman" w:eastAsia="Times New Roman"/>
          <w:b/>
          <w:sz w:val="24"/>
          <w:szCs w:val="24"/>
          <w:u w:val="single"/>
          <w:lang w:eastAsia="hr-HR"/>
        </w:rPr>
        <w:t>Aktivnost 1.3.</w:t>
      </w:r>
      <w:bookmarkEnd w:id="7"/>
      <w:r>
        <w:rPr>
          <w:rFonts w:ascii="Times New Roman" w:hAnsi="Times New Roman" w:eastAsia="Times New Roman"/>
          <w:b/>
          <w:sz w:val="24"/>
          <w:szCs w:val="24"/>
          <w:u w:val="single"/>
          <w:lang w:eastAsia="hr-HR"/>
        </w:rPr>
        <w:t xml:space="preserve"> </w:t>
      </w:r>
      <w:r>
        <w:rPr>
          <w:rFonts w:ascii="Times New Roman" w:hAnsi="Times New Roman" w:eastAsiaTheme="minorHAnsi"/>
          <w:b/>
          <w:bCs/>
          <w:sz w:val="24"/>
          <w:szCs w:val="24"/>
          <w:u w:val="single"/>
        </w:rPr>
        <w:t>Unaprjeđenje lovnotehničkih i lovnogospodarskih objekata</w:t>
      </w:r>
      <w:r>
        <w:rPr>
          <w:rFonts w:ascii="Times New Roman" w:hAnsi="Times New Roman" w:eastAsia="Times New Roman"/>
          <w:b/>
          <w:bCs/>
          <w:sz w:val="24"/>
          <w:szCs w:val="24"/>
          <w:u w:val="single"/>
          <w:lang w:eastAsia="hr-HR"/>
        </w:rPr>
        <w:t xml:space="preserve"> (hranilišta, pojilišta, solišta, spremišta za hranu, sabirališta i zimovališta za pernatu divljač, ograde, uskočnice, kolibe i dr.)</w:t>
      </w:r>
    </w:p>
    <w:p w14:paraId="5D2EC81D">
      <w:pPr>
        <w:spacing w:after="0" w:line="240" w:lineRule="auto"/>
        <w:ind w:firstLine="708"/>
        <w:jc w:val="both"/>
        <w:rPr>
          <w:rFonts w:ascii="Times New Roman" w:hAnsi="Times New Roman" w:eastAsia="Times New Roman"/>
          <w:b/>
          <w:sz w:val="24"/>
          <w:szCs w:val="24"/>
          <w:lang w:eastAsia="hr-HR"/>
        </w:rPr>
      </w:pPr>
      <w:bookmarkStart w:id="8" w:name="_Hlk169092672"/>
      <w:r>
        <w:rPr>
          <w:rFonts w:ascii="Times New Roman" w:hAnsi="Times New Roman" w:eastAsia="Times New Roman"/>
          <w:b/>
          <w:sz w:val="24"/>
          <w:szCs w:val="24"/>
          <w:lang w:eastAsia="hr-HR"/>
        </w:rPr>
        <w:t xml:space="preserve">Prihvatljivi troškovi: </w:t>
      </w:r>
    </w:p>
    <w:bookmarkEnd w:id="8"/>
    <w:p w14:paraId="66BFDBF2">
      <w:pPr>
        <w:spacing w:after="0" w:line="280" w:lineRule="exact"/>
        <w:ind w:left="708"/>
        <w:jc w:val="both"/>
        <w:rPr>
          <w:rFonts w:ascii="Times New Roman" w:hAnsi="Times New Roman" w:eastAsiaTheme="minorHAnsi"/>
          <w:kern w:val="2"/>
          <w:sz w:val="24"/>
          <w:szCs w:val="24"/>
          <w:lang w:eastAsia="hr-HR"/>
          <w14:ligatures w14:val="standardContextual"/>
        </w:rPr>
      </w:pPr>
      <w:r>
        <w:rPr>
          <w:rFonts w:ascii="Times New Roman" w:hAnsi="Times New Roman" w:eastAsiaTheme="minorHAnsi"/>
          <w:kern w:val="2"/>
          <w:sz w:val="24"/>
          <w:szCs w:val="24"/>
          <w14:ligatures w14:val="standardContextual"/>
        </w:rPr>
        <w:t xml:space="preserve">Gradnja i/ili rekonstrukcija </w:t>
      </w:r>
      <w:r>
        <w:rPr>
          <w:rFonts w:ascii="Times New Roman" w:hAnsi="Times New Roman" w:eastAsia="Times New Roman"/>
          <w:kern w:val="2"/>
          <w:sz w:val="24"/>
          <w:szCs w:val="24"/>
          <w14:ligatures w14:val="standardContextual"/>
        </w:rPr>
        <w:t>hranilišta, pojilišta, solišta, spremišta za hranu, sabirališta i zimovališta za pernatu divljač, ograde, uskočnice, kolibe i dr.</w:t>
      </w:r>
      <w:r>
        <w:rPr>
          <w:rFonts w:ascii="Times New Roman" w:hAnsi="Times New Roman" w:eastAsiaTheme="minorHAnsi"/>
          <w:kern w:val="2"/>
          <w:sz w:val="24"/>
          <w:szCs w:val="24"/>
          <w14:ligatures w14:val="standardContextual"/>
        </w:rPr>
        <w:t xml:space="preserve"> </w:t>
      </w:r>
    </w:p>
    <w:p w14:paraId="6965C3D4">
      <w:pPr>
        <w:spacing w:after="0" w:line="240" w:lineRule="auto"/>
        <w:ind w:firstLine="708"/>
        <w:jc w:val="both"/>
        <w:rPr>
          <w:rFonts w:ascii="Times New Roman" w:hAnsi="Times New Roman" w:eastAsia="Times New Roman"/>
          <w:b/>
          <w:bCs/>
          <w:sz w:val="24"/>
          <w:szCs w:val="24"/>
          <w:lang w:eastAsia="hr-HR"/>
        </w:rPr>
      </w:pPr>
      <w:r>
        <w:rPr>
          <w:rFonts w:ascii="Times New Roman" w:hAnsi="Times New Roman" w:eastAsia="Times New Roman"/>
          <w:b/>
          <w:bCs/>
          <w:sz w:val="24"/>
          <w:szCs w:val="24"/>
          <w:lang w:eastAsia="hr-HR"/>
        </w:rPr>
        <w:t xml:space="preserve">Iznos bespovratne novčane potpore: </w:t>
      </w:r>
    </w:p>
    <w:p w14:paraId="001691F5">
      <w:pPr>
        <w:spacing w:after="0" w:line="240" w:lineRule="auto"/>
        <w:ind w:firstLine="708"/>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Do 75% iznosa prihvatljivih troškova sukladno plaćenim računima.</w:t>
      </w:r>
    </w:p>
    <w:p w14:paraId="7CEA13BB">
      <w:pPr>
        <w:tabs>
          <w:tab w:val="left" w:pos="1111"/>
        </w:tabs>
        <w:spacing w:after="0" w:line="240" w:lineRule="auto"/>
        <w:ind w:firstLine="708"/>
        <w:jc w:val="both"/>
        <w:rPr>
          <w:rFonts w:ascii="Times New Roman" w:hAnsi="Times New Roman" w:eastAsia="Times New Roman"/>
          <w:bCs/>
          <w:sz w:val="16"/>
          <w:szCs w:val="16"/>
          <w:vertAlign w:val="subscript"/>
          <w:lang w:eastAsia="hr-HR"/>
        </w:rPr>
      </w:pPr>
      <w:r>
        <w:rPr>
          <w:rFonts w:ascii="Times New Roman" w:hAnsi="Times New Roman" w:eastAsia="Times New Roman"/>
          <w:bCs/>
          <w:sz w:val="24"/>
          <w:szCs w:val="24"/>
          <w:lang w:eastAsia="hr-HR"/>
        </w:rPr>
        <w:tab/>
      </w:r>
    </w:p>
    <w:p w14:paraId="3B03E1D3">
      <w:pPr>
        <w:spacing w:after="0" w:line="240" w:lineRule="auto"/>
        <w:jc w:val="both"/>
        <w:rPr>
          <w:rFonts w:ascii="Times New Roman" w:hAnsi="Times New Roman" w:eastAsia="Times New Roman"/>
          <w:b/>
          <w:sz w:val="24"/>
          <w:szCs w:val="24"/>
          <w:u w:val="single"/>
          <w:lang w:eastAsia="hr-HR"/>
        </w:rPr>
      </w:pPr>
      <w:r>
        <w:rPr>
          <w:rFonts w:ascii="Times New Roman" w:hAnsi="Times New Roman" w:eastAsia="Times New Roman"/>
          <w:b/>
          <w:sz w:val="24"/>
          <w:szCs w:val="24"/>
          <w:u w:val="single"/>
          <w:lang w:eastAsia="hr-HR"/>
        </w:rPr>
        <w:t>Aktivnost 1.4. Unos krupne  i sitne divljači u lovište</w:t>
      </w:r>
    </w:p>
    <w:p w14:paraId="1EFB2AB4">
      <w:pPr>
        <w:spacing w:after="0" w:line="240" w:lineRule="auto"/>
        <w:ind w:firstLine="708"/>
        <w:jc w:val="both"/>
        <w:rPr>
          <w:rFonts w:ascii="Times New Roman" w:hAnsi="Times New Roman" w:eastAsia="Times New Roman"/>
          <w:b/>
          <w:sz w:val="24"/>
          <w:szCs w:val="24"/>
          <w:u w:val="single"/>
          <w:lang w:eastAsia="hr-HR"/>
        </w:rPr>
      </w:pPr>
      <w:r>
        <w:rPr>
          <w:rFonts w:ascii="Times New Roman" w:hAnsi="Times New Roman" w:eastAsia="Times New Roman"/>
          <w:bCs/>
          <w:sz w:val="24"/>
          <w:szCs w:val="24"/>
          <w:lang w:eastAsia="hr-HR"/>
        </w:rPr>
        <w:t xml:space="preserve">1.4.1. Unos jelena običnog </w:t>
      </w:r>
    </w:p>
    <w:p w14:paraId="24A20712">
      <w:pPr>
        <w:spacing w:after="0" w:line="240" w:lineRule="auto"/>
        <w:ind w:firstLine="708"/>
        <w:jc w:val="both"/>
        <w:rPr>
          <w:rFonts w:ascii="Times New Roman" w:hAnsi="Times New Roman" w:eastAsia="Times New Roman"/>
          <w:bCs/>
          <w:sz w:val="24"/>
          <w:szCs w:val="24"/>
          <w:lang w:val="en-US" w:eastAsia="hr-HR"/>
        </w:rPr>
      </w:pPr>
      <w:r>
        <w:rPr>
          <w:rFonts w:ascii="Times New Roman" w:hAnsi="Times New Roman" w:eastAsia="Times New Roman"/>
          <w:bCs/>
          <w:sz w:val="24"/>
          <w:szCs w:val="24"/>
          <w:lang w:eastAsia="hr-HR"/>
        </w:rPr>
        <w:t>1.4.2. Unos fazan</w:t>
      </w:r>
      <w:r>
        <w:rPr>
          <w:rFonts w:ascii="Times New Roman" w:hAnsi="Times New Roman" w:eastAsia="Times New Roman"/>
          <w:bCs/>
          <w:sz w:val="24"/>
          <w:szCs w:val="24"/>
          <w:lang w:val="en-US" w:eastAsia="hr-HR"/>
        </w:rPr>
        <w:t>a običnog</w:t>
      </w:r>
    </w:p>
    <w:p w14:paraId="76F6028C">
      <w:pPr>
        <w:spacing w:after="0" w:line="240" w:lineRule="auto"/>
        <w:ind w:firstLine="708"/>
        <w:jc w:val="both"/>
        <w:rPr>
          <w:rFonts w:ascii="Times New Roman" w:hAnsi="Times New Roman" w:eastAsia="Times New Roman"/>
          <w:bCs/>
          <w:sz w:val="24"/>
          <w:szCs w:val="24"/>
          <w:lang w:eastAsia="hr-HR"/>
        </w:rPr>
      </w:pPr>
      <w:bookmarkStart w:id="9" w:name="_Hlk169770991"/>
      <w:r>
        <w:rPr>
          <w:rFonts w:ascii="Times New Roman" w:hAnsi="Times New Roman" w:eastAsia="Times New Roman"/>
          <w:bCs/>
          <w:sz w:val="24"/>
          <w:szCs w:val="24"/>
          <w:lang w:eastAsia="hr-HR"/>
        </w:rPr>
        <w:t>1.4.3. Unos zeca običnog</w:t>
      </w:r>
    </w:p>
    <w:bookmarkEnd w:id="9"/>
    <w:p w14:paraId="56CC99DD">
      <w:pPr>
        <w:tabs>
          <w:tab w:val="left" w:pos="1601"/>
        </w:tabs>
        <w:spacing w:after="0" w:line="240" w:lineRule="auto"/>
        <w:jc w:val="both"/>
        <w:rPr>
          <w:rFonts w:ascii="Times New Roman" w:hAnsi="Times New Roman" w:eastAsia="Times New Roman"/>
          <w:b/>
          <w:sz w:val="24"/>
          <w:szCs w:val="24"/>
          <w:lang w:eastAsia="hr-HR"/>
        </w:rPr>
      </w:pPr>
      <w:r>
        <w:rPr>
          <w:rFonts w:ascii="Times New Roman" w:hAnsi="Times New Roman" w:eastAsia="Times New Roman"/>
          <w:b/>
          <w:sz w:val="24"/>
          <w:szCs w:val="24"/>
          <w:lang w:eastAsia="hr-HR"/>
        </w:rPr>
        <w:tab/>
      </w:r>
      <w:r>
        <w:rPr>
          <w:rFonts w:ascii="Times New Roman" w:hAnsi="Times New Roman" w:eastAsia="Times New Roman"/>
          <w:b/>
          <w:sz w:val="24"/>
          <w:szCs w:val="24"/>
          <w:lang w:eastAsia="hr-HR"/>
        </w:rPr>
        <w:t xml:space="preserve"> </w:t>
      </w:r>
    </w:p>
    <w:p w14:paraId="0237876F">
      <w:pPr>
        <w:tabs>
          <w:tab w:val="left" w:pos="6327"/>
        </w:tabs>
        <w:spacing w:after="0" w:line="240" w:lineRule="auto"/>
        <w:jc w:val="both"/>
        <w:rPr>
          <w:rFonts w:ascii="Times New Roman" w:hAnsi="Times New Roman" w:eastAsia="Times New Roman"/>
          <w:b/>
          <w:sz w:val="24"/>
          <w:szCs w:val="24"/>
          <w:u w:val="single"/>
          <w:lang w:eastAsia="hr-HR"/>
        </w:rPr>
      </w:pPr>
      <w:r>
        <w:rPr>
          <w:rFonts w:ascii="Times New Roman" w:hAnsi="Times New Roman" w:eastAsia="Times New Roman"/>
          <w:b/>
          <w:sz w:val="24"/>
          <w:szCs w:val="24"/>
          <w:u w:val="single"/>
          <w:lang w:eastAsia="hr-HR"/>
        </w:rPr>
        <w:t>Aktivnost 1.4.1. Unos jelena običnog</w:t>
      </w:r>
    </w:p>
    <w:p w14:paraId="27536021">
      <w:pPr>
        <w:spacing w:after="0" w:line="240" w:lineRule="auto"/>
        <w:ind w:firstLine="708"/>
        <w:jc w:val="both"/>
        <w:rPr>
          <w:rFonts w:ascii="Times New Roman" w:hAnsi="Times New Roman" w:eastAsia="Times New Roman"/>
          <w:b/>
          <w:sz w:val="24"/>
          <w:szCs w:val="24"/>
          <w:lang w:eastAsia="hr-HR"/>
        </w:rPr>
      </w:pPr>
      <w:r>
        <w:rPr>
          <w:rFonts w:ascii="Times New Roman" w:hAnsi="Times New Roman" w:eastAsia="Times New Roman"/>
          <w:b/>
          <w:sz w:val="24"/>
          <w:szCs w:val="24"/>
          <w:lang w:eastAsia="hr-HR"/>
        </w:rPr>
        <w:t xml:space="preserve">Prihvatljivi troškovi: </w:t>
      </w:r>
    </w:p>
    <w:p w14:paraId="449B8B50">
      <w:pPr>
        <w:spacing w:after="0" w:line="240" w:lineRule="auto"/>
        <w:ind w:firstLine="708"/>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Kupnja jelena običnog radi unosa u lovište.</w:t>
      </w:r>
    </w:p>
    <w:p w14:paraId="1E3C44D2">
      <w:pPr>
        <w:spacing w:after="0" w:line="240" w:lineRule="auto"/>
        <w:ind w:firstLine="708"/>
        <w:jc w:val="both"/>
        <w:rPr>
          <w:rFonts w:ascii="Times New Roman" w:hAnsi="Times New Roman" w:eastAsia="Times New Roman"/>
          <w:b/>
          <w:sz w:val="24"/>
          <w:szCs w:val="24"/>
          <w:lang w:eastAsia="hr-HR"/>
        </w:rPr>
      </w:pPr>
      <w:bookmarkStart w:id="10" w:name="_Hlk170124722"/>
      <w:r>
        <w:rPr>
          <w:rFonts w:ascii="Times New Roman" w:hAnsi="Times New Roman" w:eastAsia="Times New Roman"/>
          <w:b/>
          <w:sz w:val="24"/>
          <w:szCs w:val="24"/>
          <w:lang w:eastAsia="hr-HR"/>
        </w:rPr>
        <w:t>Uvjeti za dodjelu bespovratne novčane potpore:</w:t>
      </w:r>
    </w:p>
    <w:p w14:paraId="0928EE14">
      <w:pPr>
        <w:spacing w:after="0" w:line="240" w:lineRule="auto"/>
        <w:ind w:firstLine="708"/>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Unesena divljač sukladno propisu lovnogospodarske osnove.</w:t>
      </w:r>
    </w:p>
    <w:p w14:paraId="02423B2E">
      <w:pPr>
        <w:spacing w:after="0" w:line="240" w:lineRule="auto"/>
        <w:ind w:firstLine="708"/>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Preslika veterinarskog uvjerenja o zdravstvenom stanju unesene divljači.</w:t>
      </w:r>
    </w:p>
    <w:bookmarkEnd w:id="10"/>
    <w:p w14:paraId="41E4F2E2">
      <w:pPr>
        <w:spacing w:after="0" w:line="240" w:lineRule="auto"/>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            Zapisnik o ispuštanju divljači u lovište. </w:t>
      </w:r>
    </w:p>
    <w:p w14:paraId="0746912A">
      <w:pPr>
        <w:spacing w:after="0" w:line="240" w:lineRule="auto"/>
        <w:ind w:firstLine="708"/>
        <w:jc w:val="both"/>
        <w:rPr>
          <w:rFonts w:ascii="Times New Roman" w:hAnsi="Times New Roman" w:eastAsia="Times New Roman"/>
          <w:bCs/>
          <w:sz w:val="24"/>
          <w:szCs w:val="24"/>
          <w:lang w:eastAsia="hr-HR"/>
        </w:rPr>
      </w:pPr>
      <w:r>
        <w:rPr>
          <w:rFonts w:ascii="Times New Roman" w:hAnsi="Times New Roman" w:eastAsia="Times New Roman"/>
          <w:b/>
          <w:sz w:val="24"/>
          <w:szCs w:val="24"/>
          <w:lang w:eastAsia="hr-HR"/>
        </w:rPr>
        <w:t xml:space="preserve">Iznos bespovratne novčane potpore: </w:t>
      </w:r>
    </w:p>
    <w:p w14:paraId="393BA032">
      <w:pPr>
        <w:spacing w:after="0" w:line="240" w:lineRule="auto"/>
        <w:ind w:firstLine="708"/>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Do 75% iznosa prihvatljivih troškova sukladno plaćenim računima.</w:t>
      </w:r>
    </w:p>
    <w:p w14:paraId="3F7D70E3">
      <w:pPr>
        <w:spacing w:after="0" w:line="240" w:lineRule="auto"/>
        <w:jc w:val="both"/>
        <w:rPr>
          <w:rFonts w:ascii="Times New Roman" w:hAnsi="Times New Roman" w:eastAsia="Times New Roman"/>
          <w:bCs/>
          <w:sz w:val="16"/>
          <w:szCs w:val="16"/>
          <w:vertAlign w:val="subscript"/>
          <w:lang w:eastAsia="hr-HR"/>
        </w:rPr>
      </w:pPr>
    </w:p>
    <w:p w14:paraId="4A607C52">
      <w:pPr>
        <w:spacing w:after="0" w:line="240" w:lineRule="auto"/>
        <w:jc w:val="both"/>
        <w:rPr>
          <w:rFonts w:ascii="Times New Roman" w:hAnsi="Times New Roman" w:eastAsia="Times New Roman"/>
          <w:bCs/>
          <w:sz w:val="24"/>
          <w:szCs w:val="24"/>
          <w:lang w:eastAsia="hr-HR"/>
        </w:rPr>
      </w:pPr>
      <w:r>
        <w:rPr>
          <w:rFonts w:ascii="Times New Roman" w:hAnsi="Times New Roman" w:eastAsia="Times New Roman"/>
          <w:b/>
          <w:sz w:val="24"/>
          <w:szCs w:val="24"/>
          <w:u w:val="single"/>
          <w:lang w:eastAsia="hr-HR"/>
        </w:rPr>
        <w:t>Aktivnost 1.4.2. Unos fazana običnog</w:t>
      </w:r>
    </w:p>
    <w:p w14:paraId="728E370B">
      <w:pPr>
        <w:spacing w:after="0" w:line="240" w:lineRule="auto"/>
        <w:ind w:firstLine="708"/>
        <w:jc w:val="both"/>
        <w:rPr>
          <w:rFonts w:ascii="Times New Roman" w:hAnsi="Times New Roman" w:eastAsia="Times New Roman"/>
          <w:b/>
          <w:sz w:val="24"/>
          <w:szCs w:val="24"/>
          <w:lang w:eastAsia="hr-HR"/>
        </w:rPr>
      </w:pPr>
      <w:bookmarkStart w:id="11" w:name="_Hlk170718721"/>
      <w:r>
        <w:rPr>
          <w:rFonts w:ascii="Times New Roman" w:hAnsi="Times New Roman" w:eastAsia="Times New Roman"/>
          <w:b/>
          <w:sz w:val="24"/>
          <w:szCs w:val="24"/>
          <w:lang w:eastAsia="hr-HR"/>
        </w:rPr>
        <w:t xml:space="preserve">Prihvatljivi troškovi: </w:t>
      </w:r>
    </w:p>
    <w:p w14:paraId="54E2985B">
      <w:pPr>
        <w:spacing w:after="0" w:line="240" w:lineRule="auto"/>
        <w:ind w:firstLine="708"/>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Kupnja fazana običnog radi unosa u lovište.</w:t>
      </w:r>
    </w:p>
    <w:bookmarkEnd w:id="11"/>
    <w:p w14:paraId="13FBC28A">
      <w:pPr>
        <w:spacing w:after="0" w:line="240" w:lineRule="auto"/>
        <w:ind w:firstLine="708"/>
        <w:jc w:val="both"/>
        <w:rPr>
          <w:rFonts w:ascii="Times New Roman" w:hAnsi="Times New Roman" w:eastAsia="Times New Roman"/>
          <w:b/>
          <w:sz w:val="24"/>
          <w:szCs w:val="24"/>
          <w:lang w:eastAsia="hr-HR"/>
        </w:rPr>
      </w:pPr>
      <w:r>
        <w:rPr>
          <w:rFonts w:ascii="Times New Roman" w:hAnsi="Times New Roman" w:eastAsia="Times New Roman"/>
          <w:b/>
          <w:sz w:val="24"/>
          <w:szCs w:val="24"/>
          <w:lang w:eastAsia="hr-HR"/>
        </w:rPr>
        <w:t>Uvjeti za dodjelu bespovratne novčane potpore:</w:t>
      </w:r>
    </w:p>
    <w:p w14:paraId="3C62D5B1">
      <w:pPr>
        <w:spacing w:after="0" w:line="240" w:lineRule="auto"/>
        <w:ind w:firstLine="708"/>
        <w:jc w:val="both"/>
        <w:rPr>
          <w:rFonts w:ascii="Times New Roman" w:hAnsi="Times New Roman" w:eastAsia="Times New Roman"/>
          <w:bCs/>
          <w:sz w:val="24"/>
          <w:szCs w:val="24"/>
          <w:lang w:eastAsia="hr-HR"/>
        </w:rPr>
      </w:pPr>
      <w:bookmarkStart w:id="12" w:name="_Hlk170202616"/>
      <w:r>
        <w:rPr>
          <w:rFonts w:ascii="Times New Roman" w:hAnsi="Times New Roman" w:eastAsia="Times New Roman"/>
          <w:bCs/>
          <w:sz w:val="24"/>
          <w:szCs w:val="24"/>
          <w:lang w:eastAsia="hr-HR"/>
        </w:rPr>
        <w:t>Unesena divljač sukladno propisu lovnogospodarske osnove.</w:t>
      </w:r>
    </w:p>
    <w:p w14:paraId="36ACAB90">
      <w:pPr>
        <w:spacing w:after="0" w:line="240" w:lineRule="auto"/>
        <w:ind w:firstLine="708"/>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Preslika veterinarskog uvjerenja o zdravstvenom stanju unesene divljači.</w:t>
      </w:r>
    </w:p>
    <w:p w14:paraId="193E7900">
      <w:pPr>
        <w:spacing w:after="0" w:line="240" w:lineRule="auto"/>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            Zapisnik o ispuštanju divljači u lovište.  </w:t>
      </w:r>
    </w:p>
    <w:bookmarkEnd w:id="12"/>
    <w:p w14:paraId="0CB4A5A2">
      <w:pPr>
        <w:spacing w:after="0" w:line="240" w:lineRule="auto"/>
        <w:ind w:firstLine="708"/>
        <w:jc w:val="both"/>
        <w:rPr>
          <w:rFonts w:ascii="Times New Roman" w:hAnsi="Times New Roman" w:eastAsia="Times New Roman"/>
          <w:bCs/>
          <w:sz w:val="24"/>
          <w:szCs w:val="24"/>
          <w:lang w:eastAsia="hr-HR"/>
        </w:rPr>
      </w:pPr>
      <w:r>
        <w:rPr>
          <w:rFonts w:ascii="Times New Roman" w:hAnsi="Times New Roman" w:eastAsia="Times New Roman"/>
          <w:b/>
          <w:sz w:val="24"/>
          <w:szCs w:val="24"/>
          <w:lang w:eastAsia="hr-HR"/>
        </w:rPr>
        <w:t xml:space="preserve">Iznos bespovratne novčane potpore: </w:t>
      </w:r>
    </w:p>
    <w:p w14:paraId="0942E6E9">
      <w:pPr>
        <w:spacing w:after="0" w:line="240" w:lineRule="auto"/>
        <w:ind w:firstLine="708"/>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Do 75% iznosa prihvatljivih troškova sukladno plaćenim računima.</w:t>
      </w:r>
    </w:p>
    <w:p w14:paraId="66A12ED1">
      <w:pPr>
        <w:tabs>
          <w:tab w:val="left" w:pos="899"/>
          <w:tab w:val="left" w:pos="1647"/>
        </w:tabs>
        <w:spacing w:after="0" w:line="240" w:lineRule="auto"/>
        <w:jc w:val="both"/>
        <w:rPr>
          <w:rFonts w:ascii="Times New Roman" w:hAnsi="Times New Roman" w:eastAsia="Times New Roman"/>
          <w:bCs/>
          <w:sz w:val="16"/>
          <w:szCs w:val="16"/>
          <w:vertAlign w:val="subscript"/>
          <w:lang w:eastAsia="hr-HR"/>
        </w:rPr>
      </w:pPr>
      <w:r>
        <w:rPr>
          <w:rFonts w:ascii="Times New Roman" w:hAnsi="Times New Roman" w:eastAsia="Times New Roman"/>
          <w:bCs/>
          <w:sz w:val="24"/>
          <w:szCs w:val="24"/>
          <w:lang w:eastAsia="hr-HR"/>
        </w:rPr>
        <w:tab/>
      </w:r>
      <w:r>
        <w:rPr>
          <w:rFonts w:ascii="Times New Roman" w:hAnsi="Times New Roman" w:eastAsia="Times New Roman"/>
          <w:bCs/>
          <w:sz w:val="24"/>
          <w:szCs w:val="24"/>
          <w:lang w:eastAsia="hr-HR"/>
        </w:rPr>
        <w:tab/>
      </w:r>
    </w:p>
    <w:p w14:paraId="508DEE47">
      <w:pPr>
        <w:spacing w:after="0" w:line="240" w:lineRule="auto"/>
        <w:jc w:val="both"/>
        <w:rPr>
          <w:rFonts w:ascii="Times New Roman" w:hAnsi="Times New Roman" w:eastAsia="Times New Roman"/>
          <w:b/>
          <w:sz w:val="24"/>
          <w:szCs w:val="24"/>
          <w:u w:val="single"/>
          <w:lang w:eastAsia="hr-HR"/>
        </w:rPr>
      </w:pPr>
      <w:r>
        <w:rPr>
          <w:rFonts w:ascii="Times New Roman" w:hAnsi="Times New Roman" w:eastAsia="Times New Roman"/>
          <w:b/>
          <w:sz w:val="24"/>
          <w:szCs w:val="24"/>
          <w:u w:val="single"/>
          <w:lang w:eastAsia="hr-HR"/>
        </w:rPr>
        <w:t>Aktivnost 1.4.3. Unos zeca običnog</w:t>
      </w:r>
    </w:p>
    <w:p w14:paraId="6FFAF846">
      <w:pPr>
        <w:spacing w:after="0" w:line="240" w:lineRule="auto"/>
        <w:ind w:firstLine="708"/>
        <w:jc w:val="both"/>
        <w:rPr>
          <w:rFonts w:ascii="Times New Roman" w:hAnsi="Times New Roman" w:eastAsia="Times New Roman"/>
          <w:b/>
          <w:sz w:val="24"/>
          <w:szCs w:val="24"/>
          <w:lang w:eastAsia="hr-HR"/>
        </w:rPr>
      </w:pPr>
      <w:r>
        <w:rPr>
          <w:rFonts w:ascii="Times New Roman" w:hAnsi="Times New Roman" w:eastAsia="Times New Roman"/>
          <w:b/>
          <w:sz w:val="24"/>
          <w:szCs w:val="24"/>
          <w:lang w:eastAsia="hr-HR"/>
        </w:rPr>
        <w:t xml:space="preserve">Prihvatljivi troškovi: </w:t>
      </w:r>
    </w:p>
    <w:p w14:paraId="0A139782">
      <w:pPr>
        <w:spacing w:after="0" w:line="240" w:lineRule="auto"/>
        <w:ind w:firstLine="708"/>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Kupnja zeca običnog radi unosa u lovište.</w:t>
      </w:r>
    </w:p>
    <w:p w14:paraId="2CA8164B">
      <w:pPr>
        <w:spacing w:after="0" w:line="240" w:lineRule="auto"/>
        <w:ind w:firstLine="708"/>
        <w:jc w:val="both"/>
        <w:rPr>
          <w:rFonts w:ascii="Times New Roman" w:hAnsi="Times New Roman" w:eastAsia="Times New Roman"/>
          <w:b/>
          <w:sz w:val="24"/>
          <w:szCs w:val="24"/>
          <w:lang w:eastAsia="hr-HR"/>
        </w:rPr>
      </w:pPr>
      <w:r>
        <w:rPr>
          <w:rFonts w:ascii="Times New Roman" w:hAnsi="Times New Roman" w:eastAsia="Times New Roman"/>
          <w:b/>
          <w:sz w:val="24"/>
          <w:szCs w:val="24"/>
          <w:lang w:eastAsia="hr-HR"/>
        </w:rPr>
        <w:t>Uvjeti za dodjelu bespovratne novčane potpore:</w:t>
      </w:r>
    </w:p>
    <w:p w14:paraId="476BFA56">
      <w:pPr>
        <w:spacing w:after="0" w:line="240" w:lineRule="auto"/>
        <w:ind w:firstLine="708"/>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Unesena divljač sukladno propisu lovnogospodarske osnove.</w:t>
      </w:r>
    </w:p>
    <w:p w14:paraId="146F8CD6">
      <w:pPr>
        <w:spacing w:after="0" w:line="240" w:lineRule="auto"/>
        <w:ind w:firstLine="708"/>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Preslika veterinarskog uvjerenja o zdravstvenom stanju unesene divljači.</w:t>
      </w:r>
    </w:p>
    <w:p w14:paraId="167AAE2F">
      <w:pPr>
        <w:spacing w:after="0" w:line="240" w:lineRule="auto"/>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            Zapisnik o ispuštanju divljači u lovište.  </w:t>
      </w:r>
    </w:p>
    <w:p w14:paraId="7B78FCA4">
      <w:pPr>
        <w:spacing w:after="0" w:line="240" w:lineRule="auto"/>
        <w:ind w:firstLine="708"/>
        <w:jc w:val="both"/>
        <w:rPr>
          <w:rFonts w:ascii="Times New Roman" w:hAnsi="Times New Roman" w:eastAsia="Times New Roman"/>
          <w:bCs/>
          <w:sz w:val="24"/>
          <w:szCs w:val="24"/>
          <w:lang w:eastAsia="hr-HR"/>
        </w:rPr>
      </w:pPr>
      <w:r>
        <w:rPr>
          <w:rFonts w:ascii="Times New Roman" w:hAnsi="Times New Roman" w:eastAsia="Times New Roman"/>
          <w:b/>
          <w:sz w:val="24"/>
          <w:szCs w:val="24"/>
          <w:lang w:eastAsia="hr-HR"/>
        </w:rPr>
        <w:t xml:space="preserve">Iznos bespovratne novčane potpore: </w:t>
      </w:r>
    </w:p>
    <w:p w14:paraId="6B8108ED">
      <w:pPr>
        <w:spacing w:after="0" w:line="240" w:lineRule="auto"/>
        <w:ind w:firstLine="708"/>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Do 75% iznosa prihvatljivih troškova sukladno plaćenim računima.</w:t>
      </w:r>
    </w:p>
    <w:p w14:paraId="504054EC">
      <w:pPr>
        <w:spacing w:after="0" w:line="240" w:lineRule="auto"/>
        <w:ind w:firstLine="708"/>
        <w:jc w:val="both"/>
        <w:rPr>
          <w:rFonts w:ascii="Times New Roman" w:hAnsi="Times New Roman" w:eastAsiaTheme="minorHAnsi"/>
          <w:sz w:val="24"/>
          <w:szCs w:val="24"/>
        </w:rPr>
      </w:pPr>
      <w:r>
        <w:rPr>
          <w:rFonts w:ascii="Times New Roman" w:hAnsi="Times New Roman" w:eastAsiaTheme="minorHAnsi"/>
          <w:sz w:val="24"/>
          <w:szCs w:val="24"/>
        </w:rPr>
        <w:tab/>
      </w:r>
    </w:p>
    <w:p w14:paraId="4F06C012">
      <w:pPr>
        <w:spacing w:after="0" w:line="240" w:lineRule="auto"/>
        <w:rPr>
          <w:rFonts w:ascii="Times New Roman" w:hAnsi="Times New Roman" w:eastAsia="Times New Roman"/>
          <w:b/>
          <w:sz w:val="24"/>
          <w:szCs w:val="24"/>
          <w:lang w:eastAsia="hr-HR"/>
        </w:rPr>
      </w:pPr>
      <w:r>
        <w:rPr>
          <w:rFonts w:ascii="Times New Roman" w:hAnsi="Times New Roman" w:eastAsia="Times New Roman"/>
          <w:b/>
          <w:sz w:val="24"/>
          <w:szCs w:val="24"/>
          <w:lang w:eastAsia="hr-HR"/>
        </w:rPr>
        <w:t>Mjera 2. Sprječavanje šteta od divljači i na divljači</w:t>
      </w:r>
    </w:p>
    <w:p w14:paraId="51034050">
      <w:pPr>
        <w:spacing w:after="0" w:line="240" w:lineRule="auto"/>
        <w:rPr>
          <w:rFonts w:ascii="Times New Roman" w:hAnsi="Times New Roman" w:eastAsia="Times New Roman"/>
          <w:b/>
          <w:sz w:val="16"/>
          <w:szCs w:val="16"/>
          <w:lang w:eastAsia="hr-HR"/>
        </w:rPr>
      </w:pPr>
      <w:r>
        <w:rPr>
          <w:rFonts w:ascii="Times New Roman" w:hAnsi="Times New Roman" w:eastAsia="Times New Roman"/>
          <w:b/>
          <w:sz w:val="24"/>
          <w:szCs w:val="24"/>
          <w:lang w:eastAsia="hr-HR"/>
        </w:rPr>
        <w:tab/>
      </w:r>
      <w:r>
        <w:rPr>
          <w:rFonts w:ascii="Times New Roman" w:hAnsi="Times New Roman" w:eastAsia="Times New Roman"/>
          <w:b/>
          <w:sz w:val="24"/>
          <w:szCs w:val="24"/>
          <w:lang w:eastAsia="hr-HR"/>
        </w:rPr>
        <w:tab/>
      </w:r>
    </w:p>
    <w:p w14:paraId="04C72BBC">
      <w:pPr>
        <w:spacing w:after="0" w:line="280" w:lineRule="exact"/>
        <w:jc w:val="both"/>
        <w:rPr>
          <w:rFonts w:ascii="Times New Roman" w:hAnsi="Times New Roman" w:eastAsiaTheme="minorHAnsi"/>
          <w:kern w:val="2"/>
          <w:sz w:val="24"/>
          <w:szCs w:val="24"/>
          <w14:ligatures w14:val="standardContextual"/>
        </w:rPr>
      </w:pPr>
      <w:r>
        <w:rPr>
          <w:rFonts w:ascii="Times New Roman" w:hAnsi="Times New Roman" w:eastAsia="Times New Roman"/>
          <w:b/>
          <w:kern w:val="2"/>
          <w:sz w:val="24"/>
          <w:szCs w:val="24"/>
          <w14:ligatures w14:val="standardContextual"/>
        </w:rPr>
        <w:t>Opis mjere:</w:t>
      </w:r>
      <w:r>
        <w:rPr>
          <w:rFonts w:ascii="Times New Roman" w:hAnsi="Times New Roman" w:eastAsiaTheme="minorHAnsi"/>
          <w:kern w:val="2"/>
          <w:sz w:val="24"/>
          <w:szCs w:val="24"/>
          <w14:ligatures w14:val="standardContextual"/>
        </w:rPr>
        <w:t xml:space="preserve"> Zaštita divljači i lovišta jedan je od uvjeta dobrog lovnog gospodarenja. Jedan od nezaobilaznih čimbenika lovnog gospodarenja su štete od divljači. Potrebno je jačati suradnju između svih korisnika prostora kako bi se uz zajedničke napore smanjile štete od divljači bilo kroz upotrebu kemijskih ili mehaničkih barijera.</w:t>
      </w:r>
      <w:bookmarkStart w:id="13" w:name="_Hlk31974351"/>
      <w:bookmarkStart w:id="14" w:name="_Hlk31975409"/>
    </w:p>
    <w:p w14:paraId="67E589A3">
      <w:pPr>
        <w:tabs>
          <w:tab w:val="left" w:pos="3000"/>
        </w:tabs>
        <w:spacing w:after="0" w:line="280" w:lineRule="exact"/>
        <w:jc w:val="both"/>
        <w:rPr>
          <w:rFonts w:ascii="Times New Roman" w:hAnsi="Times New Roman" w:eastAsiaTheme="minorHAnsi"/>
          <w:kern w:val="2"/>
          <w:sz w:val="16"/>
          <w:szCs w:val="16"/>
          <w:lang w:eastAsia="hr-HR"/>
          <w14:ligatures w14:val="standardContextual"/>
        </w:rPr>
      </w:pPr>
      <w:r>
        <w:rPr>
          <w:rFonts w:ascii="Times New Roman" w:hAnsi="Times New Roman" w:eastAsiaTheme="minorHAnsi"/>
          <w:kern w:val="2"/>
          <w:sz w:val="24"/>
          <w:szCs w:val="24"/>
          <w:lang w:eastAsia="hr-HR"/>
          <w14:ligatures w14:val="standardContextual"/>
        </w:rPr>
        <w:tab/>
      </w:r>
    </w:p>
    <w:p w14:paraId="6BDE10D9">
      <w:pPr>
        <w:spacing w:after="0" w:line="240" w:lineRule="auto"/>
        <w:ind w:firstLine="708"/>
        <w:jc w:val="both"/>
        <w:rPr>
          <w:rFonts w:ascii="Times New Roman" w:hAnsi="Times New Roman" w:eastAsia="Times New Roman"/>
          <w:b/>
          <w:sz w:val="24"/>
          <w:szCs w:val="24"/>
          <w:lang w:eastAsia="hr-HR"/>
        </w:rPr>
      </w:pPr>
    </w:p>
    <w:p w14:paraId="41393E7B">
      <w:pPr>
        <w:spacing w:after="0" w:line="240" w:lineRule="auto"/>
        <w:ind w:firstLine="708"/>
        <w:jc w:val="both"/>
        <w:rPr>
          <w:rFonts w:ascii="Times New Roman" w:hAnsi="Times New Roman" w:eastAsia="Times New Roman"/>
          <w:b/>
          <w:sz w:val="24"/>
          <w:szCs w:val="24"/>
          <w:lang w:eastAsia="hr-HR"/>
        </w:rPr>
      </w:pPr>
      <w:r>
        <w:rPr>
          <w:rFonts w:ascii="Times New Roman" w:hAnsi="Times New Roman" w:eastAsia="Times New Roman"/>
          <w:b/>
          <w:sz w:val="24"/>
          <w:szCs w:val="24"/>
          <w:lang w:eastAsia="hr-HR"/>
        </w:rPr>
        <w:t>Prihvatljive aktivnosti:</w:t>
      </w:r>
    </w:p>
    <w:bookmarkEnd w:id="13"/>
    <w:bookmarkEnd w:id="14"/>
    <w:p w14:paraId="4C1ED305">
      <w:pPr>
        <w:spacing w:after="0" w:line="280" w:lineRule="exact"/>
        <w:ind w:firstLine="708"/>
        <w:rPr>
          <w:rFonts w:ascii="Times New Roman" w:hAnsi="Times New Roman" w:eastAsiaTheme="minorHAnsi"/>
          <w:kern w:val="2"/>
          <w:sz w:val="24"/>
          <w:szCs w:val="24"/>
          <w:lang w:eastAsia="hr-HR"/>
          <w14:ligatures w14:val="standardContextual"/>
        </w:rPr>
      </w:pPr>
      <w:bookmarkStart w:id="15" w:name="_Hlk32233392"/>
      <w:r>
        <w:rPr>
          <w:rFonts w:ascii="Times New Roman" w:hAnsi="Times New Roman" w:eastAsiaTheme="minorHAnsi"/>
          <w:kern w:val="2"/>
          <w:sz w:val="24"/>
          <w:szCs w:val="24"/>
          <w14:ligatures w14:val="standardContextual"/>
        </w:rPr>
        <w:t>2.1. Nabavka kemijskih i mehaničkih repelenata (električni pastiri, plinski topovi)</w:t>
      </w:r>
    </w:p>
    <w:bookmarkEnd w:id="15"/>
    <w:p w14:paraId="55923497">
      <w:pPr>
        <w:spacing w:after="0" w:line="280" w:lineRule="exact"/>
        <w:ind w:firstLine="708"/>
        <w:rPr>
          <w:rFonts w:ascii="Times New Roman" w:hAnsi="Times New Roman" w:eastAsiaTheme="minorHAnsi"/>
          <w:kern w:val="2"/>
          <w:sz w:val="24"/>
          <w:szCs w:val="24"/>
          <w14:ligatures w14:val="standardContextual"/>
        </w:rPr>
      </w:pPr>
      <w:r>
        <w:rPr>
          <w:rFonts w:ascii="Times New Roman" w:hAnsi="Times New Roman" w:eastAsiaTheme="minorHAnsi"/>
          <w:kern w:val="2"/>
          <w:sz w:val="24"/>
          <w:szCs w:val="24"/>
          <w14:ligatures w14:val="standardContextual"/>
        </w:rPr>
        <w:t>2.2. Zaštita od bolesti</w:t>
      </w:r>
    </w:p>
    <w:p w14:paraId="64F87386">
      <w:pPr>
        <w:spacing w:after="0" w:line="280" w:lineRule="exact"/>
        <w:ind w:firstLine="708"/>
        <w:rPr>
          <w:rFonts w:ascii="Times New Roman" w:hAnsi="Times New Roman" w:eastAsiaTheme="minorHAnsi"/>
          <w:kern w:val="2"/>
          <w:sz w:val="24"/>
          <w:szCs w:val="24"/>
          <w14:ligatures w14:val="standardContextual"/>
        </w:rPr>
      </w:pPr>
    </w:p>
    <w:p w14:paraId="2A74C063">
      <w:pPr>
        <w:spacing w:after="0" w:line="280" w:lineRule="exact"/>
        <w:rPr>
          <w:rFonts w:ascii="Times New Roman" w:hAnsi="Times New Roman" w:eastAsiaTheme="minorHAnsi"/>
          <w:b/>
          <w:bCs/>
          <w:kern w:val="2"/>
          <w:sz w:val="24"/>
          <w:szCs w:val="24"/>
          <w:u w:val="single"/>
          <w14:ligatures w14:val="standardContextual"/>
        </w:rPr>
      </w:pPr>
      <w:bookmarkStart w:id="16" w:name="_Hlk32233940"/>
      <w:r>
        <w:rPr>
          <w:rFonts w:ascii="Times New Roman" w:hAnsi="Times New Roman" w:eastAsia="Times New Roman"/>
          <w:b/>
          <w:kern w:val="2"/>
          <w:sz w:val="24"/>
          <w:szCs w:val="24"/>
          <w:u w:val="single"/>
          <w14:ligatures w14:val="standardContextual"/>
        </w:rPr>
        <w:t>Aktivnost 2.1.</w:t>
      </w:r>
      <w:r>
        <w:rPr>
          <w:rFonts w:ascii="Times New Roman" w:hAnsi="Times New Roman" w:eastAsiaTheme="minorHAnsi"/>
          <w:kern w:val="2"/>
          <w:sz w:val="24"/>
          <w:szCs w:val="24"/>
          <w:u w:val="single"/>
          <w14:ligatures w14:val="standardContextual"/>
        </w:rPr>
        <w:t xml:space="preserve"> </w:t>
      </w:r>
      <w:r>
        <w:rPr>
          <w:rFonts w:ascii="Times New Roman" w:hAnsi="Times New Roman" w:eastAsiaTheme="minorHAnsi"/>
          <w:b/>
          <w:bCs/>
          <w:kern w:val="2"/>
          <w:sz w:val="24"/>
          <w:szCs w:val="24"/>
          <w:u w:val="single"/>
          <w14:ligatures w14:val="standardContextual"/>
        </w:rPr>
        <w:t>Nabavka kemijskih i mehaničkih repelenata (električni pastiri, plinski topovi)</w:t>
      </w:r>
    </w:p>
    <w:p w14:paraId="5C054E3C">
      <w:pPr>
        <w:spacing w:after="0" w:line="240" w:lineRule="auto"/>
        <w:ind w:firstLine="708"/>
        <w:jc w:val="both"/>
        <w:rPr>
          <w:rFonts w:ascii="Times New Roman" w:hAnsi="Times New Roman" w:eastAsia="Times New Roman"/>
          <w:b/>
          <w:sz w:val="24"/>
          <w:szCs w:val="24"/>
          <w:lang w:eastAsia="hr-HR"/>
        </w:rPr>
      </w:pPr>
      <w:r>
        <w:rPr>
          <w:rFonts w:ascii="Times New Roman" w:hAnsi="Times New Roman" w:eastAsia="Times New Roman"/>
          <w:b/>
          <w:sz w:val="24"/>
          <w:szCs w:val="24"/>
          <w:lang w:eastAsia="hr-HR"/>
        </w:rPr>
        <w:t xml:space="preserve">Prihvatljivi troškovi: </w:t>
      </w:r>
    </w:p>
    <w:p w14:paraId="52973D72">
      <w:pPr>
        <w:spacing w:after="0" w:line="280" w:lineRule="exact"/>
        <w:ind w:left="708"/>
        <w:rPr>
          <w:rFonts w:ascii="Times New Roman" w:hAnsi="Times New Roman" w:eastAsiaTheme="minorHAnsi"/>
          <w:kern w:val="2"/>
          <w:sz w:val="24"/>
          <w:szCs w:val="24"/>
          <w:lang w:eastAsia="hr-HR"/>
          <w14:ligatures w14:val="standardContextual"/>
        </w:rPr>
      </w:pPr>
      <w:r>
        <w:rPr>
          <w:rFonts w:ascii="Times New Roman" w:hAnsi="Times New Roman" w:eastAsia="Times New Roman"/>
          <w:bCs/>
          <w:kern w:val="2"/>
          <w:sz w:val="24"/>
          <w:szCs w:val="24"/>
          <w14:ligatures w14:val="standardContextual"/>
        </w:rPr>
        <w:t xml:space="preserve">Nabava sredstava i opreme za sprečavanje šteta od divljači </w:t>
      </w:r>
      <w:r>
        <w:rPr>
          <w:rFonts w:ascii="Times New Roman" w:hAnsi="Times New Roman" w:eastAsiaTheme="minorHAnsi"/>
          <w:kern w:val="2"/>
          <w:sz w:val="24"/>
          <w:szCs w:val="24"/>
          <w14:ligatures w14:val="standardContextual"/>
        </w:rPr>
        <w:t>- kemijski repelenti, električni pastiri s opremom, plinski topovi.</w:t>
      </w:r>
    </w:p>
    <w:p w14:paraId="0F1D1C9A">
      <w:pPr>
        <w:spacing w:after="0" w:line="240" w:lineRule="auto"/>
        <w:ind w:firstLine="708"/>
        <w:jc w:val="both"/>
        <w:rPr>
          <w:rFonts w:ascii="Times New Roman" w:hAnsi="Times New Roman" w:eastAsia="Times New Roman"/>
          <w:b/>
          <w:bCs/>
          <w:sz w:val="24"/>
          <w:szCs w:val="24"/>
          <w:lang w:eastAsia="hr-HR"/>
        </w:rPr>
      </w:pPr>
      <w:r>
        <w:rPr>
          <w:rFonts w:ascii="Times New Roman" w:hAnsi="Times New Roman" w:eastAsia="Times New Roman"/>
          <w:b/>
          <w:bCs/>
          <w:sz w:val="24"/>
          <w:szCs w:val="24"/>
          <w:lang w:eastAsia="hr-HR"/>
        </w:rPr>
        <w:t xml:space="preserve">Iznos bespovratne novčane potpore: </w:t>
      </w:r>
    </w:p>
    <w:p w14:paraId="6ADEFFC8">
      <w:pPr>
        <w:spacing w:after="0" w:line="240" w:lineRule="auto"/>
        <w:ind w:firstLine="708"/>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Do 75% iznosa prihvatljivih troškova sukladno plaćenim računima.</w:t>
      </w:r>
    </w:p>
    <w:p w14:paraId="08079292">
      <w:pPr>
        <w:tabs>
          <w:tab w:val="left" w:pos="2231"/>
        </w:tabs>
        <w:spacing w:after="0" w:line="280" w:lineRule="exact"/>
        <w:ind w:firstLine="708"/>
        <w:rPr>
          <w:rFonts w:ascii="Times New Roman" w:hAnsi="Times New Roman" w:eastAsiaTheme="minorHAnsi"/>
          <w:kern w:val="2"/>
          <w:sz w:val="24"/>
          <w:szCs w:val="24"/>
          <w:lang w:eastAsia="hr-HR"/>
          <w14:ligatures w14:val="standardContextual"/>
        </w:rPr>
      </w:pPr>
      <w:r>
        <w:rPr>
          <w:rFonts w:ascii="Times New Roman" w:hAnsi="Times New Roman" w:eastAsiaTheme="minorHAnsi"/>
          <w:kern w:val="2"/>
          <w:sz w:val="24"/>
          <w:szCs w:val="24"/>
          <w:lang w:eastAsia="hr-HR"/>
          <w14:ligatures w14:val="standardContextual"/>
        </w:rPr>
        <w:tab/>
      </w:r>
    </w:p>
    <w:p w14:paraId="258EA8B5">
      <w:pPr>
        <w:spacing w:after="0" w:line="280" w:lineRule="exact"/>
        <w:rPr>
          <w:rFonts w:ascii="Times New Roman" w:hAnsi="Times New Roman" w:eastAsiaTheme="minorHAnsi"/>
          <w:b/>
          <w:kern w:val="2"/>
          <w:sz w:val="24"/>
          <w:szCs w:val="24"/>
          <w:u w:val="single"/>
          <w14:ligatures w14:val="standardContextual"/>
        </w:rPr>
      </w:pPr>
      <w:r>
        <w:rPr>
          <w:rFonts w:ascii="Times New Roman" w:hAnsi="Times New Roman" w:eastAsia="Times New Roman"/>
          <w:b/>
          <w:kern w:val="2"/>
          <w:sz w:val="24"/>
          <w:szCs w:val="24"/>
          <w:u w:val="single"/>
          <w14:ligatures w14:val="standardContextual"/>
        </w:rPr>
        <w:t>Aktivnost 2.2.</w:t>
      </w:r>
      <w:r>
        <w:rPr>
          <w:rFonts w:ascii="Times New Roman" w:hAnsi="Times New Roman" w:eastAsiaTheme="minorHAnsi"/>
          <w:b/>
          <w:kern w:val="2"/>
          <w:sz w:val="24"/>
          <w:szCs w:val="24"/>
          <w:u w:val="single"/>
          <w14:ligatures w14:val="standardContextual"/>
        </w:rPr>
        <w:t xml:space="preserve"> Zaštita od bolesti</w:t>
      </w:r>
    </w:p>
    <w:p w14:paraId="6CEAEE09">
      <w:pPr>
        <w:spacing w:after="0" w:line="280" w:lineRule="exact"/>
        <w:rPr>
          <w:rFonts w:ascii="Times New Roman" w:hAnsi="Times New Roman" w:eastAsiaTheme="minorHAnsi"/>
          <w:b/>
          <w:kern w:val="2"/>
          <w:sz w:val="24"/>
          <w:szCs w:val="24"/>
          <w:u w:val="single"/>
          <w14:ligatures w14:val="standardContextual"/>
        </w:rPr>
      </w:pPr>
      <w:r>
        <w:rPr>
          <w:rFonts w:ascii="Times New Roman" w:hAnsi="Times New Roman" w:eastAsiaTheme="minorHAnsi"/>
          <w:b/>
          <w:kern w:val="2"/>
          <w:sz w:val="24"/>
          <w:szCs w:val="24"/>
          <w14:ligatures w14:val="standardContextual"/>
        </w:rPr>
        <w:t xml:space="preserve">           </w:t>
      </w:r>
      <w:r>
        <w:rPr>
          <w:rFonts w:ascii="Times New Roman" w:hAnsi="Times New Roman" w:eastAsia="Times New Roman"/>
          <w:b/>
          <w:sz w:val="24"/>
          <w:szCs w:val="24"/>
          <w:lang w:eastAsia="hr-HR"/>
        </w:rPr>
        <w:t xml:space="preserve">Prihvatljivi troškovi: </w:t>
      </w:r>
    </w:p>
    <w:p w14:paraId="0BBAB7A6">
      <w:pPr>
        <w:spacing w:after="0" w:line="280" w:lineRule="exact"/>
        <w:ind w:left="708"/>
        <w:jc w:val="both"/>
        <w:rPr>
          <w:rFonts w:ascii="Times New Roman" w:hAnsi="Times New Roman" w:eastAsia="Times New Roman"/>
          <w:bCs/>
          <w:kern w:val="2"/>
          <w:sz w:val="24"/>
          <w:szCs w:val="24"/>
          <w:lang w:eastAsia="hr-HR"/>
          <w14:ligatures w14:val="standardContextual"/>
        </w:rPr>
      </w:pPr>
      <w:r>
        <w:rPr>
          <w:rFonts w:ascii="Times New Roman" w:hAnsi="Times New Roman" w:eastAsia="Times New Roman"/>
          <w:bCs/>
          <w:kern w:val="2"/>
          <w:sz w:val="24"/>
          <w:szCs w:val="24"/>
          <w14:ligatures w14:val="standardContextual"/>
        </w:rPr>
        <w:t>Nabava sredstava i opreme za dezinfekciju ljudi, vozila i prostora u cilju sprječavanja Afričke svinjske kuge – prskalice, dezinfekcijske barijere, rukavice, maske.</w:t>
      </w:r>
    </w:p>
    <w:p w14:paraId="15240FD5">
      <w:pPr>
        <w:spacing w:after="0" w:line="240" w:lineRule="auto"/>
        <w:ind w:firstLine="708"/>
        <w:jc w:val="both"/>
        <w:rPr>
          <w:rFonts w:ascii="Times New Roman" w:hAnsi="Times New Roman" w:eastAsia="Times New Roman"/>
          <w:b/>
          <w:bCs/>
          <w:sz w:val="24"/>
          <w:szCs w:val="24"/>
          <w:lang w:eastAsia="hr-HR"/>
        </w:rPr>
      </w:pPr>
      <w:r>
        <w:rPr>
          <w:rFonts w:ascii="Times New Roman" w:hAnsi="Times New Roman" w:eastAsia="Times New Roman"/>
          <w:b/>
          <w:bCs/>
          <w:sz w:val="24"/>
          <w:szCs w:val="24"/>
          <w:lang w:eastAsia="hr-HR"/>
        </w:rPr>
        <w:t xml:space="preserve">Iznos bespovratne novčane potpore: </w:t>
      </w:r>
    </w:p>
    <w:p w14:paraId="23801E85">
      <w:pPr>
        <w:spacing w:after="0" w:line="240" w:lineRule="auto"/>
        <w:ind w:firstLine="708"/>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Do 75% iznosa prihvatljivih troškova sukladno plaćenim računima.</w:t>
      </w:r>
    </w:p>
    <w:bookmarkEnd w:id="16"/>
    <w:p w14:paraId="051F9A61">
      <w:pPr>
        <w:spacing w:after="0" w:line="240" w:lineRule="auto"/>
        <w:jc w:val="both"/>
        <w:rPr>
          <w:rFonts w:ascii="Times New Roman" w:hAnsi="Times New Roman" w:eastAsiaTheme="minorHAnsi"/>
          <w:b/>
          <w:i/>
          <w:sz w:val="24"/>
          <w:szCs w:val="24"/>
        </w:rPr>
      </w:pPr>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28" w:type="dxa"/>
          <w:left w:w="113" w:type="dxa"/>
          <w:bottom w:w="28" w:type="dxa"/>
          <w:right w:w="0" w:type="dxa"/>
        </w:tblCellMar>
      </w:tblPr>
      <w:tblGrid>
        <w:gridCol w:w="9899"/>
      </w:tblGrid>
      <w:tr w14:paraId="3E829F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28" w:type="dxa"/>
            <w:left w:w="113" w:type="dxa"/>
            <w:bottom w:w="28" w:type="dxa"/>
            <w:right w:w="0" w:type="dxa"/>
          </w:tblCellMar>
        </w:tblPrEx>
        <w:trPr>
          <w:trHeight w:val="308" w:hRule="exact"/>
        </w:trPr>
        <w:tc>
          <w:tcPr>
            <w:tcW w:w="5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28722859">
            <w:pPr>
              <w:widowControl w:val="0"/>
              <w:suppressLineNumbers/>
              <w:snapToGrid w:val="0"/>
              <w:rPr>
                <w:rFonts w:ascii="Times New Roman" w:hAnsi="Times New Roman"/>
                <w:b/>
                <w:bCs/>
                <w:sz w:val="24"/>
                <w:szCs w:val="24"/>
              </w:rPr>
            </w:pPr>
            <w:r>
              <w:rPr>
                <w:rFonts w:ascii="Times New Roman" w:hAnsi="Times New Roman" w:eastAsia="Times New Roman"/>
                <w:b/>
                <w:sz w:val="24"/>
                <w:szCs w:val="24"/>
                <w:lang w:eastAsia="hr-HR"/>
              </w:rPr>
              <w:t xml:space="preserve"> </w:t>
            </w:r>
            <w:r>
              <w:rPr>
                <w:rFonts w:ascii="Times New Roman" w:hAnsi="Times New Roman"/>
                <w:b/>
                <w:bCs/>
                <w:sz w:val="24"/>
                <w:szCs w:val="24"/>
              </w:rPr>
              <w:t>Kriteriji za dodjelu bespovratnih novčanih potpora</w:t>
            </w:r>
          </w:p>
        </w:tc>
      </w:tr>
    </w:tbl>
    <w:p w14:paraId="34202CDA">
      <w:pPr>
        <w:spacing w:after="0"/>
        <w:jc w:val="both"/>
        <w:rPr>
          <w:rFonts w:ascii="Times New Roman" w:hAnsi="Times New Roman" w:eastAsia="Times New Roman"/>
          <w:sz w:val="24"/>
          <w:szCs w:val="24"/>
        </w:rPr>
      </w:pPr>
    </w:p>
    <w:p w14:paraId="51657BF0">
      <w:pPr>
        <w:spacing w:after="0"/>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Prijave zaprimljene po Javnom pozivu bodovat će se sukladno sljedećim kriterijima:</w:t>
      </w:r>
    </w:p>
    <w:p w14:paraId="3D5090BC">
      <w:pPr>
        <w:spacing w:after="0"/>
        <w:jc w:val="both"/>
        <w:rPr>
          <w:rFonts w:ascii="Times New Roman" w:hAnsi="Times New Roman" w:eastAsia="Times New Roman"/>
          <w:sz w:val="24"/>
          <w:szCs w:val="24"/>
          <w:lang w:eastAsia="hr-HR"/>
        </w:rPr>
      </w:pPr>
    </w:p>
    <w:tbl>
      <w:tblPr>
        <w:tblStyle w:val="13"/>
        <w:tblW w:w="0" w:type="auto"/>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8"/>
        <w:gridCol w:w="2233"/>
      </w:tblGrid>
      <w:tr w14:paraId="5F6B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48" w:type="dxa"/>
            <w:tcBorders>
              <w:top w:val="single" w:color="auto" w:sz="4" w:space="0"/>
              <w:left w:val="single" w:color="auto" w:sz="4" w:space="0"/>
              <w:bottom w:val="single" w:color="auto" w:sz="4" w:space="0"/>
              <w:right w:val="single" w:color="auto" w:sz="4" w:space="0"/>
            </w:tcBorders>
            <w:shd w:val="clear" w:color="auto" w:fill="auto"/>
          </w:tcPr>
          <w:p w14:paraId="56CD6160">
            <w:pPr>
              <w:spacing w:after="0" w:line="252" w:lineRule="auto"/>
              <w:ind w:left="42"/>
              <w:jc w:val="both"/>
              <w:rPr>
                <w:rFonts w:ascii="Times New Roman" w:hAnsi="Times New Roman" w:eastAsia="Times New Roman"/>
                <w:b/>
                <w:sz w:val="24"/>
                <w:szCs w:val="24"/>
                <w:lang w:eastAsia="hr-HR"/>
              </w:rPr>
            </w:pPr>
          </w:p>
          <w:p w14:paraId="201D7AFD">
            <w:pPr>
              <w:spacing w:after="0" w:line="252" w:lineRule="auto"/>
              <w:ind w:left="42"/>
              <w:jc w:val="center"/>
              <w:rPr>
                <w:rFonts w:ascii="Times New Roman" w:hAnsi="Times New Roman" w:eastAsia="Times New Roman"/>
                <w:b/>
                <w:sz w:val="24"/>
                <w:szCs w:val="24"/>
                <w:lang w:eastAsia="hr-HR"/>
              </w:rPr>
            </w:pPr>
            <w:r>
              <w:rPr>
                <w:rFonts w:ascii="Times New Roman" w:hAnsi="Times New Roman" w:eastAsia="Times New Roman"/>
                <w:b/>
                <w:sz w:val="24"/>
                <w:szCs w:val="24"/>
                <w:lang w:eastAsia="hr-HR"/>
              </w:rPr>
              <w:t xml:space="preserve">NAZIV KRITERIJA </w:t>
            </w:r>
          </w:p>
          <w:p w14:paraId="260410F5">
            <w:pPr>
              <w:spacing w:after="0" w:line="252" w:lineRule="auto"/>
              <w:ind w:left="42"/>
              <w:jc w:val="center"/>
              <w:rPr>
                <w:rFonts w:ascii="Times New Roman" w:hAnsi="Times New Roman" w:eastAsia="Times New Roman"/>
                <w:b/>
                <w:sz w:val="24"/>
                <w:szCs w:val="24"/>
                <w:lang w:eastAsia="hr-HR"/>
              </w:rPr>
            </w:pPr>
          </w:p>
        </w:tc>
        <w:tc>
          <w:tcPr>
            <w:tcW w:w="2233" w:type="dxa"/>
            <w:tcBorders>
              <w:top w:val="single" w:color="auto" w:sz="4" w:space="0"/>
              <w:left w:val="single" w:color="auto" w:sz="4" w:space="0"/>
              <w:bottom w:val="single" w:color="auto" w:sz="4" w:space="0"/>
              <w:right w:val="single" w:color="auto" w:sz="4" w:space="0"/>
            </w:tcBorders>
            <w:shd w:val="clear" w:color="auto" w:fill="auto"/>
          </w:tcPr>
          <w:p w14:paraId="050B40B4">
            <w:pPr>
              <w:spacing w:after="0" w:line="252" w:lineRule="auto"/>
              <w:jc w:val="both"/>
              <w:rPr>
                <w:rFonts w:ascii="Times New Roman" w:hAnsi="Times New Roman" w:eastAsia="Times New Roman"/>
                <w:b/>
                <w:sz w:val="24"/>
                <w:szCs w:val="24"/>
                <w:lang w:eastAsia="hr-HR"/>
              </w:rPr>
            </w:pPr>
          </w:p>
          <w:p w14:paraId="1BBDE7A0">
            <w:pPr>
              <w:spacing w:after="0" w:line="252" w:lineRule="auto"/>
              <w:jc w:val="center"/>
              <w:rPr>
                <w:rFonts w:ascii="Times New Roman" w:hAnsi="Times New Roman" w:eastAsia="Times New Roman"/>
                <w:b/>
                <w:sz w:val="24"/>
                <w:szCs w:val="24"/>
                <w:lang w:eastAsia="hr-HR"/>
              </w:rPr>
            </w:pPr>
            <w:r>
              <w:rPr>
                <w:rFonts w:ascii="Times New Roman" w:hAnsi="Times New Roman" w:eastAsia="Times New Roman"/>
                <w:b/>
                <w:sz w:val="24"/>
                <w:szCs w:val="24"/>
                <w:lang w:eastAsia="hr-HR"/>
              </w:rPr>
              <w:t>BODOVI</w:t>
            </w:r>
          </w:p>
        </w:tc>
      </w:tr>
      <w:tr w14:paraId="790F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448" w:type="dxa"/>
            <w:tcBorders>
              <w:top w:val="single" w:color="auto" w:sz="4" w:space="0"/>
              <w:left w:val="single" w:color="auto" w:sz="4" w:space="0"/>
              <w:bottom w:val="single" w:color="auto" w:sz="4" w:space="0"/>
              <w:right w:val="single" w:color="auto" w:sz="4" w:space="0"/>
            </w:tcBorders>
            <w:shd w:val="clear" w:color="auto" w:fill="auto"/>
          </w:tcPr>
          <w:p w14:paraId="3E3478D5">
            <w:pPr>
              <w:spacing w:after="0" w:line="252" w:lineRule="auto"/>
              <w:jc w:val="center"/>
              <w:rPr>
                <w:rFonts w:ascii="Times New Roman" w:hAnsi="Times New Roman" w:eastAsia="Times New Roman"/>
                <w:b/>
                <w:iCs/>
                <w:sz w:val="24"/>
                <w:szCs w:val="24"/>
                <w:lang w:eastAsia="hr-HR"/>
              </w:rPr>
            </w:pPr>
          </w:p>
          <w:p w14:paraId="7E0C5DBD">
            <w:pPr>
              <w:spacing w:after="0" w:line="252" w:lineRule="auto"/>
              <w:jc w:val="center"/>
              <w:rPr>
                <w:rFonts w:ascii="Times New Roman" w:hAnsi="Times New Roman" w:eastAsia="Times New Roman"/>
                <w:iCs/>
                <w:sz w:val="24"/>
                <w:szCs w:val="24"/>
                <w:lang w:eastAsia="hr-HR"/>
              </w:rPr>
            </w:pPr>
            <w:r>
              <w:rPr>
                <w:rFonts w:ascii="Times New Roman" w:hAnsi="Times New Roman" w:eastAsia="Times New Roman"/>
                <w:b/>
                <w:iCs/>
                <w:sz w:val="24"/>
                <w:szCs w:val="24"/>
                <w:lang w:eastAsia="hr-HR"/>
              </w:rPr>
              <w:t>DOPRINOS RAZVOJU LOVSTVA U SMŽ</w:t>
            </w:r>
          </w:p>
          <w:p w14:paraId="3B751E1C">
            <w:pPr>
              <w:spacing w:after="0" w:line="252" w:lineRule="auto"/>
              <w:ind w:left="42"/>
              <w:jc w:val="center"/>
              <w:rPr>
                <w:rFonts w:ascii="Times New Roman" w:hAnsi="Times New Roman" w:eastAsia="Times New Roman"/>
                <w:b/>
                <w:i/>
                <w:sz w:val="24"/>
                <w:szCs w:val="24"/>
                <w:lang w:eastAsia="hr-HR"/>
              </w:rPr>
            </w:pPr>
            <w:r>
              <w:rPr>
                <w:rFonts w:ascii="Times New Roman" w:hAnsi="Times New Roman" w:eastAsia="Times New Roman"/>
                <w:b/>
                <w:i/>
                <w:sz w:val="24"/>
                <w:szCs w:val="24"/>
                <w:lang w:eastAsia="hr-HR"/>
              </w:rPr>
              <w:t>(ulaganja u lovačke domove, hladnjače i objekte za skladištenje)</w:t>
            </w:r>
          </w:p>
          <w:p w14:paraId="1710FB28">
            <w:pPr>
              <w:spacing w:after="0" w:line="252" w:lineRule="auto"/>
              <w:ind w:left="42"/>
              <w:jc w:val="center"/>
              <w:rPr>
                <w:rFonts w:ascii="Times New Roman" w:hAnsi="Times New Roman" w:eastAsia="Times New Roman"/>
                <w:b/>
                <w:i/>
                <w:sz w:val="24"/>
                <w:szCs w:val="24"/>
                <w:lang w:eastAsia="hr-HR"/>
              </w:rPr>
            </w:pPr>
          </w:p>
        </w:tc>
        <w:tc>
          <w:tcPr>
            <w:tcW w:w="2233" w:type="dxa"/>
            <w:tcBorders>
              <w:top w:val="single" w:color="auto" w:sz="4" w:space="0"/>
              <w:left w:val="single" w:color="auto" w:sz="4" w:space="0"/>
              <w:bottom w:val="single" w:color="auto" w:sz="4" w:space="0"/>
              <w:right w:val="single" w:color="auto" w:sz="4" w:space="0"/>
            </w:tcBorders>
            <w:shd w:val="clear" w:color="auto" w:fill="auto"/>
          </w:tcPr>
          <w:p w14:paraId="017FDEFD">
            <w:pPr>
              <w:spacing w:after="0" w:line="252" w:lineRule="auto"/>
              <w:jc w:val="center"/>
              <w:rPr>
                <w:rFonts w:ascii="Times New Roman" w:hAnsi="Times New Roman" w:eastAsia="Times New Roman"/>
                <w:b/>
                <w:sz w:val="24"/>
                <w:szCs w:val="24"/>
                <w:lang w:eastAsia="hr-HR"/>
              </w:rPr>
            </w:pPr>
          </w:p>
          <w:p w14:paraId="219A3EE4">
            <w:pPr>
              <w:spacing w:after="0" w:line="252" w:lineRule="auto"/>
              <w:jc w:val="center"/>
              <w:rPr>
                <w:rFonts w:ascii="Times New Roman" w:hAnsi="Times New Roman" w:eastAsia="Times New Roman"/>
                <w:b/>
                <w:sz w:val="24"/>
                <w:szCs w:val="24"/>
                <w:lang w:eastAsia="hr-HR"/>
              </w:rPr>
            </w:pPr>
            <w:r>
              <w:rPr>
                <w:rFonts w:ascii="Times New Roman" w:hAnsi="Times New Roman" w:eastAsia="Times New Roman"/>
                <w:b/>
                <w:sz w:val="24"/>
                <w:szCs w:val="24"/>
                <w:lang w:eastAsia="hr-HR"/>
              </w:rPr>
              <w:t>1-12</w:t>
            </w:r>
          </w:p>
          <w:p w14:paraId="356B8666">
            <w:pPr>
              <w:spacing w:after="0" w:line="252" w:lineRule="auto"/>
              <w:jc w:val="both"/>
              <w:rPr>
                <w:rFonts w:ascii="Times New Roman" w:hAnsi="Times New Roman" w:eastAsia="Times New Roman"/>
                <w:sz w:val="24"/>
                <w:szCs w:val="24"/>
                <w:lang w:eastAsia="hr-HR"/>
              </w:rPr>
            </w:pPr>
          </w:p>
        </w:tc>
      </w:tr>
      <w:tr w14:paraId="2C60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48" w:type="dxa"/>
            <w:tcBorders>
              <w:top w:val="single" w:color="auto" w:sz="4" w:space="0"/>
              <w:left w:val="single" w:color="auto" w:sz="4" w:space="0"/>
              <w:bottom w:val="single" w:color="auto" w:sz="4" w:space="0"/>
              <w:right w:val="single" w:color="auto" w:sz="4" w:space="0"/>
            </w:tcBorders>
            <w:shd w:val="clear" w:color="auto" w:fill="auto"/>
          </w:tcPr>
          <w:p w14:paraId="6D45548D">
            <w:pPr>
              <w:spacing w:after="0" w:line="252" w:lineRule="auto"/>
              <w:jc w:val="both"/>
              <w:rPr>
                <w:rFonts w:ascii="Times New Roman" w:hAnsi="Times New Roman" w:eastAsia="Times New Roman"/>
                <w:i/>
                <w:sz w:val="24"/>
                <w:szCs w:val="24"/>
                <w:lang w:eastAsia="hr-HR"/>
              </w:rPr>
            </w:pPr>
            <w:r>
              <w:rPr>
                <w:rFonts w:ascii="Times New Roman" w:hAnsi="Times New Roman" w:eastAsia="Times New Roman"/>
                <w:b/>
                <w:sz w:val="24"/>
                <w:szCs w:val="24"/>
                <w:lang w:eastAsia="hr-HR"/>
              </w:rPr>
              <w:t>Vrlo veliki</w:t>
            </w:r>
            <w:r>
              <w:rPr>
                <w:rFonts w:ascii="Times New Roman" w:hAnsi="Times New Roman" w:eastAsia="Times New Roman"/>
                <w:sz w:val="24"/>
                <w:szCs w:val="24"/>
                <w:lang w:eastAsia="hr-HR"/>
              </w:rPr>
              <w:t xml:space="preserve"> </w:t>
            </w:r>
            <w:r>
              <w:rPr>
                <w:rFonts w:ascii="Times New Roman" w:hAnsi="Times New Roman" w:eastAsia="Times New Roman"/>
                <w:i/>
                <w:sz w:val="24"/>
                <w:szCs w:val="24"/>
                <w:lang w:eastAsia="hr-HR"/>
              </w:rPr>
              <w:t>(gradnja, rekonstrukcija i opremanje hladnjača za prihvat mesa divljači i objekata za obradu i skladištenje odstrijeljene divljači)</w:t>
            </w:r>
          </w:p>
        </w:tc>
        <w:tc>
          <w:tcPr>
            <w:tcW w:w="2233" w:type="dxa"/>
            <w:tcBorders>
              <w:top w:val="single" w:color="auto" w:sz="4" w:space="0"/>
              <w:left w:val="single" w:color="auto" w:sz="4" w:space="0"/>
              <w:bottom w:val="single" w:color="auto" w:sz="4" w:space="0"/>
              <w:right w:val="single" w:color="auto" w:sz="4" w:space="0"/>
            </w:tcBorders>
            <w:shd w:val="clear" w:color="auto" w:fill="auto"/>
          </w:tcPr>
          <w:p w14:paraId="17C99B8A">
            <w:pPr>
              <w:spacing w:after="0" w:line="252" w:lineRule="auto"/>
              <w:ind w:left="42"/>
              <w:jc w:val="center"/>
              <w:rPr>
                <w:rFonts w:ascii="Times New Roman" w:hAnsi="Times New Roman" w:eastAsia="Times New Roman"/>
                <w:sz w:val="24"/>
                <w:szCs w:val="24"/>
                <w:lang w:eastAsia="hr-HR"/>
              </w:rPr>
            </w:pPr>
            <w:r>
              <w:rPr>
                <w:rFonts w:ascii="Times New Roman" w:hAnsi="Times New Roman" w:eastAsia="Times New Roman"/>
                <w:sz w:val="24"/>
                <w:szCs w:val="24"/>
                <w:lang w:eastAsia="hr-HR"/>
              </w:rPr>
              <w:t>10-12</w:t>
            </w:r>
          </w:p>
        </w:tc>
      </w:tr>
      <w:tr w14:paraId="6200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448" w:type="dxa"/>
            <w:tcBorders>
              <w:top w:val="single" w:color="auto" w:sz="4" w:space="0"/>
              <w:left w:val="single" w:color="auto" w:sz="4" w:space="0"/>
              <w:bottom w:val="single" w:color="auto" w:sz="4" w:space="0"/>
              <w:right w:val="single" w:color="auto" w:sz="4" w:space="0"/>
            </w:tcBorders>
            <w:shd w:val="clear" w:color="auto" w:fill="auto"/>
          </w:tcPr>
          <w:p w14:paraId="13502EC3">
            <w:pPr>
              <w:spacing w:after="0" w:line="252" w:lineRule="auto"/>
              <w:jc w:val="both"/>
              <w:rPr>
                <w:rFonts w:ascii="Times New Roman" w:hAnsi="Times New Roman" w:eastAsia="Times New Roman"/>
                <w:sz w:val="24"/>
                <w:szCs w:val="24"/>
                <w:lang w:eastAsia="hr-HR"/>
              </w:rPr>
            </w:pPr>
            <w:r>
              <w:rPr>
                <w:rFonts w:ascii="Times New Roman" w:hAnsi="Times New Roman" w:eastAsia="Times New Roman"/>
                <w:b/>
                <w:sz w:val="24"/>
                <w:szCs w:val="24"/>
                <w:lang w:eastAsia="hr-HR"/>
              </w:rPr>
              <w:t xml:space="preserve">Veliki </w:t>
            </w:r>
            <w:r>
              <w:rPr>
                <w:rFonts w:ascii="Times New Roman" w:hAnsi="Times New Roman" w:eastAsia="Times New Roman"/>
                <w:i/>
                <w:sz w:val="24"/>
                <w:szCs w:val="24"/>
                <w:lang w:eastAsia="hr-HR"/>
              </w:rPr>
              <w:t>(ulaganje u lovačke domove)</w:t>
            </w:r>
          </w:p>
        </w:tc>
        <w:tc>
          <w:tcPr>
            <w:tcW w:w="2233" w:type="dxa"/>
            <w:tcBorders>
              <w:top w:val="single" w:color="auto" w:sz="4" w:space="0"/>
              <w:left w:val="single" w:color="auto" w:sz="4" w:space="0"/>
              <w:bottom w:val="single" w:color="auto" w:sz="4" w:space="0"/>
              <w:right w:val="single" w:color="auto" w:sz="4" w:space="0"/>
            </w:tcBorders>
            <w:shd w:val="clear" w:color="auto" w:fill="auto"/>
          </w:tcPr>
          <w:p w14:paraId="061EADDC">
            <w:pPr>
              <w:spacing w:after="0" w:line="252" w:lineRule="auto"/>
              <w:ind w:left="42"/>
              <w:jc w:val="center"/>
              <w:rPr>
                <w:rFonts w:ascii="Times New Roman" w:hAnsi="Times New Roman" w:eastAsia="Times New Roman"/>
                <w:sz w:val="24"/>
                <w:szCs w:val="24"/>
                <w:lang w:eastAsia="hr-HR"/>
              </w:rPr>
            </w:pPr>
            <w:r>
              <w:rPr>
                <w:rFonts w:ascii="Times New Roman" w:hAnsi="Times New Roman" w:eastAsia="Times New Roman"/>
                <w:sz w:val="24"/>
                <w:szCs w:val="24"/>
                <w:lang w:eastAsia="hr-HR"/>
              </w:rPr>
              <w:t>7-9</w:t>
            </w:r>
          </w:p>
        </w:tc>
      </w:tr>
      <w:tr w14:paraId="7A06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448" w:type="dxa"/>
            <w:tcBorders>
              <w:top w:val="single" w:color="auto" w:sz="4" w:space="0"/>
              <w:left w:val="single" w:color="auto" w:sz="4" w:space="0"/>
              <w:bottom w:val="single" w:color="auto" w:sz="4" w:space="0"/>
              <w:right w:val="single" w:color="auto" w:sz="4" w:space="0"/>
            </w:tcBorders>
            <w:shd w:val="clear" w:color="auto" w:fill="auto"/>
          </w:tcPr>
          <w:p w14:paraId="47827EA2">
            <w:pPr>
              <w:spacing w:after="0" w:line="252" w:lineRule="auto"/>
              <w:jc w:val="both"/>
              <w:rPr>
                <w:rFonts w:ascii="Times New Roman" w:hAnsi="Times New Roman" w:eastAsia="Times New Roman"/>
                <w:i/>
                <w:sz w:val="24"/>
                <w:szCs w:val="24"/>
                <w:lang w:eastAsia="hr-HR"/>
              </w:rPr>
            </w:pPr>
            <w:r>
              <w:rPr>
                <w:rFonts w:ascii="Times New Roman" w:hAnsi="Times New Roman" w:eastAsia="Times New Roman"/>
                <w:b/>
                <w:sz w:val="24"/>
                <w:szCs w:val="24"/>
                <w:lang w:eastAsia="hr-HR"/>
              </w:rPr>
              <w:t xml:space="preserve">Srednji </w:t>
            </w:r>
            <w:r>
              <w:rPr>
                <w:rFonts w:ascii="Times New Roman" w:hAnsi="Times New Roman" w:eastAsia="Times New Roman"/>
                <w:i/>
                <w:sz w:val="24"/>
                <w:szCs w:val="24"/>
                <w:lang w:eastAsia="hr-HR"/>
              </w:rPr>
              <w:t>(unaprjeđenje lovnotehničkih i lovnogospodarskih objekata i ulaganje u pomoćne objekte (pomoćne zgrade, nadstrešnice i dr.), unos krupne divljači)</w:t>
            </w:r>
          </w:p>
        </w:tc>
        <w:tc>
          <w:tcPr>
            <w:tcW w:w="2233" w:type="dxa"/>
            <w:tcBorders>
              <w:top w:val="single" w:color="auto" w:sz="4" w:space="0"/>
              <w:left w:val="single" w:color="auto" w:sz="4" w:space="0"/>
              <w:bottom w:val="single" w:color="auto" w:sz="4" w:space="0"/>
              <w:right w:val="single" w:color="auto" w:sz="4" w:space="0"/>
            </w:tcBorders>
            <w:shd w:val="clear" w:color="auto" w:fill="auto"/>
          </w:tcPr>
          <w:p w14:paraId="7440EE68">
            <w:pPr>
              <w:spacing w:after="0" w:line="252" w:lineRule="auto"/>
              <w:ind w:left="42"/>
              <w:jc w:val="center"/>
              <w:rPr>
                <w:rFonts w:ascii="Times New Roman" w:hAnsi="Times New Roman" w:eastAsia="Times New Roman"/>
                <w:sz w:val="24"/>
                <w:szCs w:val="24"/>
                <w:lang w:eastAsia="hr-HR"/>
              </w:rPr>
            </w:pPr>
            <w:r>
              <w:rPr>
                <w:rFonts w:ascii="Times New Roman" w:hAnsi="Times New Roman" w:eastAsia="Times New Roman"/>
                <w:sz w:val="24"/>
                <w:szCs w:val="24"/>
                <w:lang w:eastAsia="hr-HR"/>
              </w:rPr>
              <w:t>4-6</w:t>
            </w:r>
          </w:p>
        </w:tc>
      </w:tr>
      <w:tr w14:paraId="76E4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48" w:type="dxa"/>
            <w:tcBorders>
              <w:top w:val="single" w:color="auto" w:sz="4" w:space="0"/>
              <w:left w:val="single" w:color="auto" w:sz="4" w:space="0"/>
              <w:bottom w:val="single" w:color="auto" w:sz="4" w:space="0"/>
              <w:right w:val="single" w:color="auto" w:sz="4" w:space="0"/>
            </w:tcBorders>
            <w:shd w:val="clear" w:color="auto" w:fill="auto"/>
          </w:tcPr>
          <w:p w14:paraId="787DF5A8">
            <w:pPr>
              <w:spacing w:after="0" w:line="252" w:lineRule="auto"/>
              <w:jc w:val="both"/>
              <w:rPr>
                <w:rFonts w:ascii="Times New Roman" w:hAnsi="Times New Roman" w:eastAsia="Times New Roman"/>
                <w:i/>
                <w:sz w:val="24"/>
                <w:szCs w:val="24"/>
                <w:lang w:eastAsia="hr-HR"/>
              </w:rPr>
            </w:pPr>
            <w:r>
              <w:rPr>
                <w:rFonts w:ascii="Times New Roman" w:hAnsi="Times New Roman" w:eastAsia="Times New Roman"/>
                <w:b/>
                <w:sz w:val="24"/>
                <w:szCs w:val="24"/>
                <w:lang w:eastAsia="hr-HR"/>
              </w:rPr>
              <w:t xml:space="preserve">Manji </w:t>
            </w:r>
            <w:r>
              <w:rPr>
                <w:rFonts w:ascii="Times New Roman" w:hAnsi="Times New Roman" w:eastAsia="Times New Roman"/>
                <w:i/>
                <w:sz w:val="24"/>
                <w:szCs w:val="24"/>
                <w:lang w:eastAsia="hr-HR"/>
              </w:rPr>
              <w:t>(nabavka kemijskih i mehaničkih repelenata, zaštitna sredstva od bolesti, unos sitne divljači)</w:t>
            </w:r>
          </w:p>
          <w:p w14:paraId="134629E4">
            <w:pPr>
              <w:spacing w:after="0" w:line="252" w:lineRule="auto"/>
              <w:jc w:val="both"/>
              <w:rPr>
                <w:rFonts w:ascii="Times New Roman" w:hAnsi="Times New Roman" w:eastAsia="Times New Roman"/>
                <w:sz w:val="24"/>
                <w:szCs w:val="24"/>
                <w:lang w:eastAsia="hr-HR"/>
              </w:rPr>
            </w:pPr>
          </w:p>
        </w:tc>
        <w:tc>
          <w:tcPr>
            <w:tcW w:w="2233" w:type="dxa"/>
            <w:tcBorders>
              <w:top w:val="single" w:color="auto" w:sz="4" w:space="0"/>
              <w:left w:val="single" w:color="auto" w:sz="4" w:space="0"/>
              <w:bottom w:val="single" w:color="auto" w:sz="4" w:space="0"/>
              <w:right w:val="single" w:color="auto" w:sz="4" w:space="0"/>
            </w:tcBorders>
            <w:shd w:val="clear" w:color="auto" w:fill="auto"/>
          </w:tcPr>
          <w:p w14:paraId="05C1CD0C">
            <w:pPr>
              <w:spacing w:after="0" w:line="252" w:lineRule="auto"/>
              <w:ind w:left="42"/>
              <w:jc w:val="center"/>
              <w:rPr>
                <w:rFonts w:ascii="Times New Roman" w:hAnsi="Times New Roman" w:eastAsia="Times New Roman"/>
                <w:sz w:val="24"/>
                <w:szCs w:val="24"/>
                <w:lang w:eastAsia="hr-HR"/>
              </w:rPr>
            </w:pPr>
            <w:r>
              <w:rPr>
                <w:rFonts w:ascii="Times New Roman" w:hAnsi="Times New Roman" w:eastAsia="Times New Roman"/>
                <w:sz w:val="24"/>
                <w:szCs w:val="24"/>
                <w:lang w:eastAsia="hr-HR"/>
              </w:rPr>
              <w:t>1-3</w:t>
            </w:r>
          </w:p>
        </w:tc>
      </w:tr>
      <w:tr w14:paraId="4DCA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8" w:type="dxa"/>
            <w:tcBorders>
              <w:top w:val="single" w:color="auto" w:sz="4" w:space="0"/>
              <w:left w:val="single" w:color="auto" w:sz="4" w:space="0"/>
              <w:bottom w:val="single" w:color="auto" w:sz="4" w:space="0"/>
              <w:right w:val="single" w:color="auto" w:sz="4" w:space="0"/>
            </w:tcBorders>
            <w:shd w:val="clear" w:color="auto" w:fill="auto"/>
          </w:tcPr>
          <w:p w14:paraId="251B40E7">
            <w:pPr>
              <w:spacing w:after="0" w:line="240" w:lineRule="auto"/>
              <w:ind w:left="42"/>
              <w:jc w:val="center"/>
              <w:rPr>
                <w:rFonts w:ascii="Times New Roman" w:hAnsi="Times New Roman" w:eastAsia="Times New Roman"/>
                <w:b/>
                <w:iCs/>
                <w:sz w:val="24"/>
                <w:szCs w:val="24"/>
                <w:lang w:eastAsia="hr-HR"/>
              </w:rPr>
            </w:pPr>
          </w:p>
          <w:p w14:paraId="2195B68F">
            <w:pPr>
              <w:spacing w:after="0" w:line="240" w:lineRule="auto"/>
              <w:ind w:left="42"/>
              <w:jc w:val="center"/>
              <w:rPr>
                <w:rFonts w:ascii="Times New Roman" w:hAnsi="Times New Roman" w:eastAsia="Times New Roman"/>
                <w:b/>
                <w:iCs/>
                <w:sz w:val="24"/>
                <w:szCs w:val="24"/>
                <w:lang w:eastAsia="hr-HR"/>
              </w:rPr>
            </w:pPr>
            <w:r>
              <w:rPr>
                <w:rFonts w:ascii="Times New Roman" w:hAnsi="Times New Roman" w:eastAsia="Times New Roman"/>
                <w:b/>
                <w:iCs/>
                <w:sz w:val="24"/>
                <w:szCs w:val="24"/>
                <w:lang w:eastAsia="hr-HR"/>
              </w:rPr>
              <w:t>SUFINANCIRANJE ULAGANJA</w:t>
            </w:r>
          </w:p>
        </w:tc>
        <w:tc>
          <w:tcPr>
            <w:tcW w:w="2233" w:type="dxa"/>
            <w:tcBorders>
              <w:top w:val="single" w:color="auto" w:sz="4" w:space="0"/>
              <w:left w:val="single" w:color="auto" w:sz="4" w:space="0"/>
              <w:bottom w:val="single" w:color="auto" w:sz="4" w:space="0"/>
              <w:right w:val="single" w:color="auto" w:sz="4" w:space="0"/>
            </w:tcBorders>
            <w:shd w:val="clear" w:color="auto" w:fill="auto"/>
          </w:tcPr>
          <w:p w14:paraId="07896139">
            <w:pPr>
              <w:spacing w:after="0" w:line="252" w:lineRule="auto"/>
              <w:ind w:left="42"/>
              <w:jc w:val="center"/>
              <w:rPr>
                <w:rFonts w:ascii="Times New Roman" w:hAnsi="Times New Roman" w:eastAsia="Times New Roman"/>
                <w:b/>
                <w:sz w:val="24"/>
                <w:szCs w:val="24"/>
                <w:lang w:eastAsia="hr-HR"/>
              </w:rPr>
            </w:pPr>
          </w:p>
          <w:p w14:paraId="3C636FF2">
            <w:pPr>
              <w:spacing w:after="0" w:line="252" w:lineRule="auto"/>
              <w:ind w:left="42"/>
              <w:jc w:val="center"/>
              <w:rPr>
                <w:rFonts w:ascii="Times New Roman" w:hAnsi="Times New Roman" w:eastAsia="Times New Roman"/>
                <w:b/>
                <w:sz w:val="24"/>
                <w:szCs w:val="24"/>
                <w:lang w:eastAsia="hr-HR"/>
              </w:rPr>
            </w:pPr>
            <w:r>
              <w:rPr>
                <w:rFonts w:ascii="Times New Roman" w:hAnsi="Times New Roman" w:eastAsia="Times New Roman"/>
                <w:b/>
                <w:sz w:val="24"/>
                <w:szCs w:val="24"/>
                <w:lang w:eastAsia="hr-HR"/>
              </w:rPr>
              <w:t>1-6</w:t>
            </w:r>
          </w:p>
        </w:tc>
      </w:tr>
      <w:tr w14:paraId="773D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8" w:type="dxa"/>
            <w:tcBorders>
              <w:top w:val="single" w:color="auto" w:sz="4" w:space="0"/>
              <w:left w:val="single" w:color="auto" w:sz="4" w:space="0"/>
              <w:bottom w:val="single" w:color="auto" w:sz="4" w:space="0"/>
              <w:right w:val="single" w:color="auto" w:sz="4" w:space="0"/>
            </w:tcBorders>
            <w:shd w:val="clear" w:color="auto" w:fill="auto"/>
          </w:tcPr>
          <w:p w14:paraId="67B0EC2D">
            <w:pPr>
              <w:spacing w:after="0" w:line="252" w:lineRule="auto"/>
              <w:ind w:left="42"/>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udio vlastitih sredstava iznad 50%</w:t>
            </w:r>
          </w:p>
        </w:tc>
        <w:tc>
          <w:tcPr>
            <w:tcW w:w="2233" w:type="dxa"/>
            <w:tcBorders>
              <w:top w:val="single" w:color="auto" w:sz="4" w:space="0"/>
              <w:left w:val="single" w:color="auto" w:sz="4" w:space="0"/>
              <w:bottom w:val="single" w:color="auto" w:sz="4" w:space="0"/>
              <w:right w:val="single" w:color="auto" w:sz="4" w:space="0"/>
            </w:tcBorders>
            <w:shd w:val="clear" w:color="auto" w:fill="auto"/>
          </w:tcPr>
          <w:p w14:paraId="09615D1B">
            <w:pPr>
              <w:spacing w:after="0" w:line="252" w:lineRule="auto"/>
              <w:ind w:left="42"/>
              <w:jc w:val="center"/>
              <w:rPr>
                <w:rFonts w:ascii="Times New Roman" w:hAnsi="Times New Roman" w:eastAsia="Times New Roman"/>
                <w:sz w:val="24"/>
                <w:szCs w:val="24"/>
                <w:lang w:eastAsia="hr-HR"/>
              </w:rPr>
            </w:pPr>
            <w:r>
              <w:rPr>
                <w:rFonts w:ascii="Times New Roman" w:hAnsi="Times New Roman" w:eastAsia="Times New Roman"/>
                <w:sz w:val="24"/>
                <w:szCs w:val="24"/>
                <w:lang w:eastAsia="hr-HR"/>
              </w:rPr>
              <w:t>6</w:t>
            </w:r>
          </w:p>
        </w:tc>
      </w:tr>
      <w:tr w14:paraId="246D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448" w:type="dxa"/>
            <w:tcBorders>
              <w:top w:val="single" w:color="auto" w:sz="4" w:space="0"/>
              <w:left w:val="single" w:color="auto" w:sz="4" w:space="0"/>
              <w:bottom w:val="single" w:color="auto" w:sz="4" w:space="0"/>
              <w:right w:val="single" w:color="auto" w:sz="4" w:space="0"/>
            </w:tcBorders>
            <w:shd w:val="clear" w:color="auto" w:fill="auto"/>
          </w:tcPr>
          <w:p w14:paraId="10F24F8E">
            <w:pPr>
              <w:spacing w:after="0" w:line="252" w:lineRule="auto"/>
              <w:ind w:left="42"/>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udio vlastitih sredstava od 31-50%</w:t>
            </w:r>
          </w:p>
        </w:tc>
        <w:tc>
          <w:tcPr>
            <w:tcW w:w="2233" w:type="dxa"/>
            <w:tcBorders>
              <w:top w:val="single" w:color="auto" w:sz="4" w:space="0"/>
              <w:left w:val="single" w:color="auto" w:sz="4" w:space="0"/>
              <w:bottom w:val="single" w:color="auto" w:sz="4" w:space="0"/>
              <w:right w:val="single" w:color="auto" w:sz="4" w:space="0"/>
            </w:tcBorders>
            <w:shd w:val="clear" w:color="auto" w:fill="auto"/>
          </w:tcPr>
          <w:p w14:paraId="3AE2A8AB">
            <w:pPr>
              <w:spacing w:after="0" w:line="252" w:lineRule="auto"/>
              <w:ind w:left="42"/>
              <w:jc w:val="center"/>
              <w:rPr>
                <w:rFonts w:ascii="Times New Roman" w:hAnsi="Times New Roman" w:eastAsia="Times New Roman"/>
                <w:sz w:val="24"/>
                <w:szCs w:val="24"/>
                <w:lang w:eastAsia="hr-HR"/>
              </w:rPr>
            </w:pPr>
            <w:r>
              <w:rPr>
                <w:rFonts w:ascii="Times New Roman" w:hAnsi="Times New Roman" w:eastAsia="Times New Roman"/>
                <w:sz w:val="24"/>
                <w:szCs w:val="24"/>
                <w:lang w:eastAsia="hr-HR"/>
              </w:rPr>
              <w:t>4</w:t>
            </w:r>
          </w:p>
        </w:tc>
      </w:tr>
      <w:tr w14:paraId="5430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448" w:type="dxa"/>
            <w:tcBorders>
              <w:top w:val="single" w:color="auto" w:sz="4" w:space="0"/>
              <w:left w:val="single" w:color="auto" w:sz="4" w:space="0"/>
              <w:bottom w:val="single" w:color="auto" w:sz="4" w:space="0"/>
              <w:right w:val="single" w:color="auto" w:sz="4" w:space="0"/>
            </w:tcBorders>
            <w:shd w:val="clear" w:color="auto" w:fill="auto"/>
          </w:tcPr>
          <w:p w14:paraId="16733F50">
            <w:pPr>
              <w:spacing w:after="0" w:line="252" w:lineRule="auto"/>
              <w:ind w:left="42"/>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udio vlastitih sredstava od 10-30%</w:t>
            </w:r>
          </w:p>
        </w:tc>
        <w:tc>
          <w:tcPr>
            <w:tcW w:w="2233" w:type="dxa"/>
            <w:tcBorders>
              <w:top w:val="single" w:color="auto" w:sz="4" w:space="0"/>
              <w:left w:val="single" w:color="auto" w:sz="4" w:space="0"/>
              <w:bottom w:val="single" w:color="auto" w:sz="4" w:space="0"/>
              <w:right w:val="single" w:color="auto" w:sz="4" w:space="0"/>
            </w:tcBorders>
            <w:shd w:val="clear" w:color="auto" w:fill="auto"/>
          </w:tcPr>
          <w:p w14:paraId="5E509350">
            <w:pPr>
              <w:spacing w:after="0" w:line="252" w:lineRule="auto"/>
              <w:ind w:left="42"/>
              <w:jc w:val="center"/>
              <w:rPr>
                <w:rFonts w:ascii="Times New Roman" w:hAnsi="Times New Roman" w:eastAsia="Times New Roman"/>
                <w:sz w:val="24"/>
                <w:szCs w:val="24"/>
                <w:lang w:eastAsia="hr-HR"/>
              </w:rPr>
            </w:pPr>
            <w:r>
              <w:rPr>
                <w:rFonts w:ascii="Times New Roman" w:hAnsi="Times New Roman" w:eastAsia="Times New Roman"/>
                <w:sz w:val="24"/>
                <w:szCs w:val="24"/>
                <w:lang w:eastAsia="hr-HR"/>
              </w:rPr>
              <w:t>3</w:t>
            </w:r>
          </w:p>
        </w:tc>
      </w:tr>
      <w:tr w14:paraId="1DD6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48" w:type="dxa"/>
            <w:tcBorders>
              <w:top w:val="single" w:color="auto" w:sz="4" w:space="0"/>
              <w:left w:val="single" w:color="auto" w:sz="4" w:space="0"/>
              <w:bottom w:val="single" w:color="auto" w:sz="4" w:space="0"/>
              <w:right w:val="single" w:color="auto" w:sz="4" w:space="0"/>
            </w:tcBorders>
            <w:shd w:val="clear" w:color="auto" w:fill="auto"/>
          </w:tcPr>
          <w:p w14:paraId="5B28088D">
            <w:pPr>
              <w:spacing w:after="0" w:line="252" w:lineRule="auto"/>
              <w:ind w:left="42"/>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udio vlastitih sredstava manji od 10%</w:t>
            </w:r>
          </w:p>
        </w:tc>
        <w:tc>
          <w:tcPr>
            <w:tcW w:w="2233" w:type="dxa"/>
            <w:tcBorders>
              <w:top w:val="single" w:color="auto" w:sz="4" w:space="0"/>
              <w:left w:val="single" w:color="auto" w:sz="4" w:space="0"/>
              <w:bottom w:val="single" w:color="auto" w:sz="4" w:space="0"/>
              <w:right w:val="single" w:color="auto" w:sz="4" w:space="0"/>
            </w:tcBorders>
            <w:shd w:val="clear" w:color="auto" w:fill="auto"/>
          </w:tcPr>
          <w:p w14:paraId="29DCFCB0">
            <w:pPr>
              <w:spacing w:after="0" w:line="252" w:lineRule="auto"/>
              <w:ind w:left="42"/>
              <w:jc w:val="center"/>
              <w:rPr>
                <w:rFonts w:ascii="Times New Roman" w:hAnsi="Times New Roman" w:eastAsia="Times New Roman"/>
                <w:sz w:val="24"/>
                <w:szCs w:val="24"/>
                <w:lang w:eastAsia="hr-HR"/>
              </w:rPr>
            </w:pPr>
            <w:r>
              <w:rPr>
                <w:rFonts w:ascii="Times New Roman" w:hAnsi="Times New Roman" w:eastAsia="Times New Roman"/>
                <w:sz w:val="24"/>
                <w:szCs w:val="24"/>
                <w:lang w:eastAsia="hr-HR"/>
              </w:rPr>
              <w:t>1</w:t>
            </w:r>
          </w:p>
        </w:tc>
      </w:tr>
      <w:tr w14:paraId="3964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448" w:type="dxa"/>
            <w:tcBorders>
              <w:top w:val="single" w:color="auto" w:sz="4" w:space="0"/>
              <w:left w:val="single" w:color="auto" w:sz="4" w:space="0"/>
              <w:bottom w:val="single" w:color="auto" w:sz="4" w:space="0"/>
              <w:right w:val="single" w:color="auto" w:sz="4" w:space="0"/>
            </w:tcBorders>
            <w:shd w:val="clear" w:color="auto" w:fill="auto"/>
          </w:tcPr>
          <w:p w14:paraId="52E71B0B">
            <w:pPr>
              <w:tabs>
                <w:tab w:val="left" w:pos="1953"/>
                <w:tab w:val="center" w:pos="3637"/>
              </w:tabs>
              <w:spacing w:after="0" w:line="252" w:lineRule="auto"/>
              <w:ind w:left="42"/>
              <w:rPr>
                <w:rFonts w:ascii="Times New Roman" w:hAnsi="Times New Roman" w:eastAsia="Times New Roman"/>
                <w:b/>
                <w:sz w:val="24"/>
                <w:szCs w:val="24"/>
                <w:vertAlign w:val="subscript"/>
                <w:lang w:eastAsia="hr-HR"/>
              </w:rPr>
            </w:pPr>
            <w:r>
              <w:rPr>
                <w:rFonts w:ascii="Times New Roman" w:hAnsi="Times New Roman" w:eastAsia="Times New Roman"/>
                <w:b/>
                <w:sz w:val="24"/>
                <w:szCs w:val="24"/>
                <w:lang w:eastAsia="hr-HR"/>
              </w:rPr>
              <w:tab/>
            </w:r>
          </w:p>
          <w:p w14:paraId="07055043">
            <w:pPr>
              <w:tabs>
                <w:tab w:val="left" w:pos="1953"/>
                <w:tab w:val="center" w:pos="3637"/>
              </w:tabs>
              <w:spacing w:after="0" w:line="252" w:lineRule="auto"/>
              <w:ind w:left="42"/>
              <w:rPr>
                <w:rFonts w:ascii="Times New Roman" w:hAnsi="Times New Roman" w:eastAsia="Times New Roman"/>
                <w:b/>
                <w:sz w:val="24"/>
                <w:szCs w:val="24"/>
                <w:lang w:eastAsia="hr-HR"/>
              </w:rPr>
            </w:pPr>
            <w:r>
              <w:rPr>
                <w:rFonts w:ascii="Times New Roman" w:hAnsi="Times New Roman" w:eastAsia="Times New Roman"/>
                <w:b/>
                <w:sz w:val="24"/>
                <w:szCs w:val="24"/>
                <w:lang w:eastAsia="hr-HR"/>
              </w:rPr>
              <w:t xml:space="preserve">                              UPLAĆENA LOVOZAKUPNINA</w:t>
            </w:r>
          </w:p>
          <w:p w14:paraId="71E4D6F4">
            <w:pPr>
              <w:spacing w:after="0" w:line="252" w:lineRule="auto"/>
              <w:ind w:left="42"/>
              <w:jc w:val="center"/>
              <w:rPr>
                <w:rFonts w:ascii="Times New Roman" w:hAnsi="Times New Roman" w:eastAsia="Times New Roman"/>
                <w:b/>
                <w:sz w:val="24"/>
                <w:szCs w:val="24"/>
                <w:lang w:eastAsia="hr-HR"/>
              </w:rPr>
            </w:pPr>
            <w:r>
              <w:rPr>
                <w:rFonts w:ascii="Times New Roman" w:hAnsi="Times New Roman" w:eastAsia="Times New Roman"/>
                <w:b/>
                <w:sz w:val="24"/>
                <w:szCs w:val="24"/>
                <w:lang w:eastAsia="hr-HR"/>
              </w:rPr>
              <w:t>U PRETHODNOJ LOVNOJ GODINI</w:t>
            </w:r>
          </w:p>
          <w:p w14:paraId="73174CD1">
            <w:pPr>
              <w:spacing w:after="0" w:line="252" w:lineRule="auto"/>
              <w:ind w:left="42"/>
              <w:jc w:val="center"/>
              <w:rPr>
                <w:rFonts w:ascii="Times New Roman" w:hAnsi="Times New Roman" w:eastAsia="Times New Roman"/>
                <w:b/>
                <w:sz w:val="24"/>
                <w:szCs w:val="24"/>
                <w:lang w:eastAsia="hr-HR"/>
              </w:rPr>
            </w:pPr>
          </w:p>
          <w:p w14:paraId="5FEAE9A1">
            <w:pPr>
              <w:tabs>
                <w:tab w:val="left" w:pos="3117"/>
              </w:tabs>
              <w:spacing w:after="0" w:line="252" w:lineRule="auto"/>
              <w:ind w:left="42"/>
              <w:jc w:val="both"/>
              <w:rPr>
                <w:rFonts w:ascii="Times New Roman" w:hAnsi="Times New Roman" w:eastAsia="Times New Roman"/>
                <w:b/>
                <w:sz w:val="24"/>
                <w:szCs w:val="24"/>
                <w:vertAlign w:val="subscript"/>
                <w:lang w:eastAsia="hr-HR"/>
              </w:rPr>
            </w:pPr>
            <w:r>
              <w:rPr>
                <w:rFonts w:ascii="Times New Roman" w:hAnsi="Times New Roman" w:eastAsia="Times New Roman"/>
                <w:b/>
                <w:sz w:val="24"/>
                <w:szCs w:val="24"/>
                <w:lang w:eastAsia="hr-HR"/>
              </w:rPr>
              <w:tab/>
            </w:r>
          </w:p>
        </w:tc>
        <w:tc>
          <w:tcPr>
            <w:tcW w:w="2233" w:type="dxa"/>
            <w:tcBorders>
              <w:top w:val="single" w:color="auto" w:sz="4" w:space="0"/>
              <w:left w:val="single" w:color="auto" w:sz="4" w:space="0"/>
              <w:bottom w:val="single" w:color="auto" w:sz="4" w:space="0"/>
              <w:right w:val="single" w:color="auto" w:sz="4" w:space="0"/>
            </w:tcBorders>
            <w:shd w:val="clear" w:color="auto" w:fill="auto"/>
          </w:tcPr>
          <w:p w14:paraId="5211C17E">
            <w:pPr>
              <w:spacing w:after="0" w:line="252" w:lineRule="auto"/>
              <w:ind w:left="42"/>
              <w:jc w:val="center"/>
              <w:rPr>
                <w:rFonts w:ascii="Times New Roman" w:hAnsi="Times New Roman" w:eastAsia="Times New Roman"/>
                <w:b/>
                <w:sz w:val="24"/>
                <w:szCs w:val="24"/>
                <w:lang w:eastAsia="hr-HR"/>
              </w:rPr>
            </w:pPr>
          </w:p>
          <w:p w14:paraId="0E38F038">
            <w:pPr>
              <w:spacing w:after="0" w:line="252" w:lineRule="auto"/>
              <w:ind w:left="42"/>
              <w:jc w:val="center"/>
              <w:rPr>
                <w:rFonts w:ascii="Times New Roman" w:hAnsi="Times New Roman" w:eastAsia="Times New Roman"/>
                <w:b/>
                <w:sz w:val="24"/>
                <w:szCs w:val="24"/>
                <w:lang w:eastAsia="hr-HR"/>
              </w:rPr>
            </w:pPr>
            <w:r>
              <w:rPr>
                <w:rFonts w:ascii="Times New Roman" w:hAnsi="Times New Roman" w:eastAsia="Times New Roman"/>
                <w:b/>
                <w:sz w:val="24"/>
                <w:szCs w:val="24"/>
                <w:lang w:eastAsia="hr-HR"/>
              </w:rPr>
              <w:t>3-5</w:t>
            </w:r>
          </w:p>
        </w:tc>
      </w:tr>
      <w:tr w14:paraId="749A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448" w:type="dxa"/>
            <w:tcBorders>
              <w:top w:val="single" w:color="auto" w:sz="4" w:space="0"/>
              <w:left w:val="single" w:color="auto" w:sz="4" w:space="0"/>
              <w:bottom w:val="single" w:color="auto" w:sz="4" w:space="0"/>
              <w:right w:val="single" w:color="auto" w:sz="4" w:space="0"/>
            </w:tcBorders>
          </w:tcPr>
          <w:p w14:paraId="5729D4B3">
            <w:pPr>
              <w:spacing w:after="0" w:line="252" w:lineRule="auto"/>
              <w:ind w:left="42"/>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iznos uplaćene koncesije/zakupa iznad 1.300,00 €</w:t>
            </w:r>
          </w:p>
          <w:p w14:paraId="7AD1CE89">
            <w:pPr>
              <w:spacing w:after="0" w:line="252" w:lineRule="auto"/>
              <w:ind w:left="42"/>
              <w:jc w:val="both"/>
              <w:rPr>
                <w:rFonts w:ascii="Times New Roman" w:hAnsi="Times New Roman" w:eastAsia="Times New Roman"/>
                <w:color w:val="FF0000"/>
                <w:sz w:val="24"/>
                <w:szCs w:val="24"/>
                <w:lang w:eastAsia="hr-HR"/>
              </w:rPr>
            </w:pPr>
          </w:p>
        </w:tc>
        <w:tc>
          <w:tcPr>
            <w:tcW w:w="2233" w:type="dxa"/>
            <w:tcBorders>
              <w:top w:val="single" w:color="auto" w:sz="4" w:space="0"/>
              <w:left w:val="single" w:color="auto" w:sz="4" w:space="0"/>
              <w:bottom w:val="single" w:color="auto" w:sz="4" w:space="0"/>
              <w:right w:val="single" w:color="auto" w:sz="4" w:space="0"/>
            </w:tcBorders>
          </w:tcPr>
          <w:p w14:paraId="5DED531B">
            <w:pPr>
              <w:spacing w:after="0" w:line="252" w:lineRule="auto"/>
              <w:ind w:left="42"/>
              <w:jc w:val="center"/>
              <w:rPr>
                <w:rFonts w:ascii="Times New Roman" w:hAnsi="Times New Roman" w:eastAsia="Times New Roman"/>
                <w:sz w:val="24"/>
                <w:szCs w:val="24"/>
                <w:lang w:eastAsia="hr-HR"/>
              </w:rPr>
            </w:pPr>
            <w:r>
              <w:rPr>
                <w:rFonts w:ascii="Times New Roman" w:hAnsi="Times New Roman" w:eastAsia="Times New Roman"/>
                <w:sz w:val="24"/>
                <w:szCs w:val="24"/>
                <w:lang w:eastAsia="hr-HR"/>
              </w:rPr>
              <w:t>5</w:t>
            </w:r>
          </w:p>
        </w:tc>
      </w:tr>
      <w:tr w14:paraId="233F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448" w:type="dxa"/>
            <w:tcBorders>
              <w:top w:val="single" w:color="auto" w:sz="4" w:space="0"/>
              <w:left w:val="single" w:color="auto" w:sz="4" w:space="0"/>
              <w:bottom w:val="single" w:color="auto" w:sz="4" w:space="0"/>
              <w:right w:val="single" w:color="auto" w:sz="4" w:space="0"/>
            </w:tcBorders>
          </w:tcPr>
          <w:p w14:paraId="577EEFF9">
            <w:pPr>
              <w:spacing w:after="0" w:line="252" w:lineRule="auto"/>
              <w:ind w:left="42"/>
              <w:jc w:val="both"/>
              <w:rPr>
                <w:rFonts w:ascii="Times New Roman" w:hAnsi="Times New Roman" w:eastAsia="Times New Roman"/>
                <w:color w:val="FF0000"/>
                <w:sz w:val="24"/>
                <w:szCs w:val="24"/>
                <w:lang w:eastAsia="hr-HR"/>
              </w:rPr>
            </w:pPr>
            <w:r>
              <w:rPr>
                <w:rFonts w:ascii="Times New Roman" w:hAnsi="Times New Roman" w:eastAsia="Times New Roman"/>
                <w:sz w:val="24"/>
                <w:szCs w:val="24"/>
                <w:lang w:eastAsia="hr-HR"/>
              </w:rPr>
              <w:t>- iznos uplaćene koncesije/zakupa od 651,00 € - 1.300,00 €</w:t>
            </w:r>
          </w:p>
          <w:p w14:paraId="3BC8FFFE">
            <w:pPr>
              <w:spacing w:after="0" w:line="252" w:lineRule="auto"/>
              <w:ind w:left="42"/>
              <w:jc w:val="both"/>
              <w:rPr>
                <w:rFonts w:ascii="Times New Roman" w:hAnsi="Times New Roman" w:eastAsia="Times New Roman"/>
                <w:color w:val="FF0000"/>
                <w:sz w:val="24"/>
                <w:szCs w:val="24"/>
                <w:lang w:eastAsia="hr-HR"/>
              </w:rPr>
            </w:pPr>
          </w:p>
        </w:tc>
        <w:tc>
          <w:tcPr>
            <w:tcW w:w="2233" w:type="dxa"/>
            <w:tcBorders>
              <w:top w:val="single" w:color="auto" w:sz="4" w:space="0"/>
              <w:left w:val="single" w:color="auto" w:sz="4" w:space="0"/>
              <w:bottom w:val="single" w:color="auto" w:sz="4" w:space="0"/>
              <w:right w:val="single" w:color="auto" w:sz="4" w:space="0"/>
            </w:tcBorders>
          </w:tcPr>
          <w:p w14:paraId="291199A1">
            <w:pPr>
              <w:spacing w:after="0" w:line="252" w:lineRule="auto"/>
              <w:ind w:left="42"/>
              <w:jc w:val="center"/>
              <w:rPr>
                <w:rFonts w:ascii="Times New Roman" w:hAnsi="Times New Roman" w:eastAsia="Times New Roman"/>
                <w:sz w:val="24"/>
                <w:szCs w:val="24"/>
                <w:lang w:eastAsia="hr-HR"/>
              </w:rPr>
            </w:pPr>
            <w:r>
              <w:rPr>
                <w:rFonts w:ascii="Times New Roman" w:hAnsi="Times New Roman" w:eastAsia="Times New Roman"/>
                <w:sz w:val="24"/>
                <w:szCs w:val="24"/>
                <w:lang w:eastAsia="hr-HR"/>
              </w:rPr>
              <w:t>4</w:t>
            </w:r>
          </w:p>
        </w:tc>
      </w:tr>
      <w:tr w14:paraId="47A8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448" w:type="dxa"/>
            <w:tcBorders>
              <w:top w:val="single" w:color="auto" w:sz="4" w:space="0"/>
              <w:left w:val="single" w:color="auto" w:sz="4" w:space="0"/>
              <w:bottom w:val="single" w:color="auto" w:sz="4" w:space="0"/>
              <w:right w:val="single" w:color="auto" w:sz="4" w:space="0"/>
            </w:tcBorders>
          </w:tcPr>
          <w:p w14:paraId="535CD562">
            <w:pPr>
              <w:spacing w:after="0" w:line="252" w:lineRule="auto"/>
              <w:ind w:left="42"/>
              <w:jc w:val="both"/>
              <w:rPr>
                <w:rFonts w:ascii="Times New Roman" w:hAnsi="Times New Roman" w:eastAsia="Times New Roman"/>
                <w:color w:val="FF0000"/>
                <w:sz w:val="24"/>
                <w:szCs w:val="24"/>
                <w:lang w:eastAsia="hr-HR"/>
              </w:rPr>
            </w:pPr>
            <w:r>
              <w:rPr>
                <w:rFonts w:ascii="Times New Roman" w:hAnsi="Times New Roman" w:eastAsia="Times New Roman"/>
                <w:sz w:val="24"/>
                <w:szCs w:val="24"/>
                <w:lang w:eastAsia="hr-HR"/>
              </w:rPr>
              <w:t>- iznos uplaćene koncesije/zakupa do 650,00 €</w:t>
            </w:r>
          </w:p>
          <w:p w14:paraId="2B72F708">
            <w:pPr>
              <w:tabs>
                <w:tab w:val="left" w:pos="1915"/>
              </w:tabs>
              <w:spacing w:after="0" w:line="252" w:lineRule="auto"/>
              <w:ind w:left="42"/>
              <w:jc w:val="both"/>
              <w:rPr>
                <w:rFonts w:ascii="Times New Roman" w:hAnsi="Times New Roman" w:eastAsia="Times New Roman"/>
                <w:color w:val="FF0000"/>
                <w:sz w:val="24"/>
                <w:szCs w:val="24"/>
                <w:vertAlign w:val="subscript"/>
                <w:lang w:eastAsia="hr-HR"/>
              </w:rPr>
            </w:pPr>
            <w:r>
              <w:rPr>
                <w:rFonts w:ascii="Times New Roman" w:hAnsi="Times New Roman" w:eastAsia="Times New Roman"/>
                <w:color w:val="FF0000"/>
                <w:sz w:val="24"/>
                <w:szCs w:val="24"/>
                <w:lang w:eastAsia="hr-HR"/>
              </w:rPr>
              <w:tab/>
            </w:r>
          </w:p>
        </w:tc>
        <w:tc>
          <w:tcPr>
            <w:tcW w:w="2233" w:type="dxa"/>
            <w:tcBorders>
              <w:top w:val="single" w:color="auto" w:sz="4" w:space="0"/>
              <w:left w:val="single" w:color="auto" w:sz="4" w:space="0"/>
              <w:bottom w:val="single" w:color="auto" w:sz="4" w:space="0"/>
              <w:right w:val="single" w:color="auto" w:sz="4" w:space="0"/>
            </w:tcBorders>
          </w:tcPr>
          <w:p w14:paraId="747BACFE">
            <w:pPr>
              <w:spacing w:after="0" w:line="252" w:lineRule="auto"/>
              <w:ind w:left="42"/>
              <w:jc w:val="center"/>
              <w:rPr>
                <w:rFonts w:ascii="Times New Roman" w:hAnsi="Times New Roman" w:eastAsia="Times New Roman"/>
                <w:sz w:val="24"/>
                <w:szCs w:val="24"/>
                <w:lang w:eastAsia="hr-HR"/>
              </w:rPr>
            </w:pPr>
            <w:r>
              <w:rPr>
                <w:rFonts w:ascii="Times New Roman" w:hAnsi="Times New Roman" w:eastAsia="Times New Roman"/>
                <w:sz w:val="24"/>
                <w:szCs w:val="24"/>
                <w:lang w:eastAsia="hr-HR"/>
              </w:rPr>
              <w:t>3</w:t>
            </w:r>
          </w:p>
        </w:tc>
      </w:tr>
      <w:tr w14:paraId="10E8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448" w:type="dxa"/>
            <w:tcBorders>
              <w:top w:val="single" w:color="auto" w:sz="4" w:space="0"/>
              <w:left w:val="single" w:color="auto" w:sz="4" w:space="0"/>
              <w:bottom w:val="single" w:color="auto" w:sz="4" w:space="0"/>
              <w:right w:val="single" w:color="auto" w:sz="4" w:space="0"/>
            </w:tcBorders>
            <w:shd w:val="clear" w:color="auto" w:fill="auto"/>
          </w:tcPr>
          <w:p w14:paraId="27CBB9F3">
            <w:pPr>
              <w:spacing w:after="0" w:line="252" w:lineRule="auto"/>
              <w:ind w:left="42"/>
              <w:jc w:val="center"/>
              <w:rPr>
                <w:rFonts w:ascii="Times New Roman" w:hAnsi="Times New Roman" w:eastAsia="Times New Roman"/>
                <w:b/>
                <w:sz w:val="24"/>
                <w:szCs w:val="24"/>
                <w:vertAlign w:val="subscript"/>
                <w:lang w:eastAsia="hr-HR"/>
              </w:rPr>
            </w:pPr>
          </w:p>
          <w:p w14:paraId="4DA961D0">
            <w:pPr>
              <w:spacing w:after="0" w:line="252" w:lineRule="auto"/>
              <w:ind w:left="42"/>
              <w:jc w:val="center"/>
              <w:rPr>
                <w:rFonts w:ascii="Times New Roman" w:hAnsi="Times New Roman" w:eastAsia="Times New Roman"/>
                <w:b/>
                <w:sz w:val="24"/>
                <w:szCs w:val="24"/>
                <w:lang w:eastAsia="hr-HR"/>
              </w:rPr>
            </w:pPr>
            <w:r>
              <w:rPr>
                <w:rFonts w:ascii="Times New Roman" w:hAnsi="Times New Roman" w:eastAsia="Times New Roman"/>
                <w:b/>
                <w:sz w:val="24"/>
                <w:szCs w:val="24"/>
                <w:lang w:eastAsia="hr-HR"/>
              </w:rPr>
              <w:t>BROJ ČLANOVA LOVOZAKUPNIKA</w:t>
            </w:r>
          </w:p>
          <w:p w14:paraId="761A4DCA">
            <w:pPr>
              <w:spacing w:after="0" w:line="252" w:lineRule="auto"/>
              <w:ind w:left="42"/>
              <w:jc w:val="both"/>
              <w:rPr>
                <w:rFonts w:ascii="Times New Roman" w:hAnsi="Times New Roman" w:eastAsia="Times New Roman"/>
                <w:b/>
                <w:sz w:val="24"/>
                <w:szCs w:val="24"/>
                <w:vertAlign w:val="subscript"/>
                <w:lang w:eastAsia="hr-HR"/>
              </w:rPr>
            </w:pPr>
          </w:p>
          <w:p w14:paraId="6A27276E">
            <w:pPr>
              <w:spacing w:after="0" w:line="252" w:lineRule="auto"/>
              <w:ind w:left="42"/>
              <w:jc w:val="both"/>
              <w:rPr>
                <w:rFonts w:ascii="Times New Roman" w:hAnsi="Times New Roman" w:eastAsia="Times New Roman"/>
                <w:b/>
                <w:sz w:val="24"/>
                <w:szCs w:val="24"/>
                <w:vertAlign w:val="subscript"/>
                <w:lang w:eastAsia="hr-HR"/>
              </w:rPr>
            </w:pPr>
          </w:p>
        </w:tc>
        <w:tc>
          <w:tcPr>
            <w:tcW w:w="2233" w:type="dxa"/>
            <w:tcBorders>
              <w:top w:val="single" w:color="auto" w:sz="4" w:space="0"/>
              <w:left w:val="single" w:color="auto" w:sz="4" w:space="0"/>
              <w:bottom w:val="single" w:color="auto" w:sz="4" w:space="0"/>
              <w:right w:val="single" w:color="auto" w:sz="4" w:space="0"/>
            </w:tcBorders>
            <w:shd w:val="clear" w:color="auto" w:fill="auto"/>
          </w:tcPr>
          <w:p w14:paraId="7B209A46">
            <w:pPr>
              <w:spacing w:after="0" w:line="252" w:lineRule="auto"/>
              <w:ind w:left="42"/>
              <w:jc w:val="center"/>
              <w:rPr>
                <w:rFonts w:ascii="Times New Roman" w:hAnsi="Times New Roman" w:eastAsia="Times New Roman"/>
                <w:b/>
                <w:sz w:val="24"/>
                <w:szCs w:val="24"/>
                <w:lang w:eastAsia="hr-HR"/>
              </w:rPr>
            </w:pPr>
          </w:p>
          <w:p w14:paraId="2CCB5E2D">
            <w:pPr>
              <w:spacing w:after="0" w:line="252" w:lineRule="auto"/>
              <w:ind w:left="42"/>
              <w:jc w:val="center"/>
              <w:rPr>
                <w:rFonts w:ascii="Times New Roman" w:hAnsi="Times New Roman" w:eastAsia="Times New Roman"/>
                <w:b/>
                <w:sz w:val="24"/>
                <w:szCs w:val="24"/>
                <w:lang w:eastAsia="hr-HR"/>
              </w:rPr>
            </w:pPr>
            <w:r>
              <w:rPr>
                <w:rFonts w:ascii="Times New Roman" w:hAnsi="Times New Roman" w:eastAsia="Times New Roman"/>
                <w:b/>
                <w:sz w:val="24"/>
                <w:szCs w:val="24"/>
                <w:lang w:eastAsia="hr-HR"/>
              </w:rPr>
              <w:t>3-5</w:t>
            </w:r>
          </w:p>
        </w:tc>
      </w:tr>
      <w:tr w14:paraId="7FC9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448" w:type="dxa"/>
            <w:tcBorders>
              <w:top w:val="single" w:color="auto" w:sz="4" w:space="0"/>
              <w:left w:val="single" w:color="auto" w:sz="4" w:space="0"/>
              <w:bottom w:val="single" w:color="auto" w:sz="4" w:space="0"/>
              <w:right w:val="single" w:color="auto" w:sz="4" w:space="0"/>
            </w:tcBorders>
          </w:tcPr>
          <w:p w14:paraId="48C72C49">
            <w:pPr>
              <w:spacing w:after="0" w:line="252"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preko 100 članova</w:t>
            </w:r>
          </w:p>
        </w:tc>
        <w:tc>
          <w:tcPr>
            <w:tcW w:w="2233" w:type="dxa"/>
            <w:tcBorders>
              <w:top w:val="single" w:color="auto" w:sz="4" w:space="0"/>
              <w:left w:val="single" w:color="auto" w:sz="4" w:space="0"/>
              <w:bottom w:val="single" w:color="auto" w:sz="4" w:space="0"/>
              <w:right w:val="single" w:color="auto" w:sz="4" w:space="0"/>
            </w:tcBorders>
          </w:tcPr>
          <w:p w14:paraId="1BFACE4E">
            <w:pPr>
              <w:spacing w:after="0" w:line="252" w:lineRule="auto"/>
              <w:ind w:left="42"/>
              <w:jc w:val="center"/>
              <w:rPr>
                <w:rFonts w:ascii="Times New Roman" w:hAnsi="Times New Roman" w:eastAsia="Times New Roman"/>
                <w:sz w:val="24"/>
                <w:szCs w:val="24"/>
                <w:lang w:eastAsia="hr-HR"/>
              </w:rPr>
            </w:pPr>
            <w:r>
              <w:rPr>
                <w:rFonts w:ascii="Times New Roman" w:hAnsi="Times New Roman" w:eastAsia="Times New Roman"/>
                <w:sz w:val="24"/>
                <w:szCs w:val="24"/>
                <w:lang w:eastAsia="hr-HR"/>
              </w:rPr>
              <w:t>5</w:t>
            </w:r>
          </w:p>
        </w:tc>
      </w:tr>
      <w:tr w14:paraId="35FB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448" w:type="dxa"/>
            <w:tcBorders>
              <w:top w:val="single" w:color="auto" w:sz="4" w:space="0"/>
              <w:left w:val="single" w:color="auto" w:sz="4" w:space="0"/>
              <w:bottom w:val="single" w:color="auto" w:sz="4" w:space="0"/>
              <w:right w:val="single" w:color="auto" w:sz="4" w:space="0"/>
            </w:tcBorders>
          </w:tcPr>
          <w:p w14:paraId="65F80F84">
            <w:pPr>
              <w:spacing w:after="0" w:line="252"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od 51-100 članova</w:t>
            </w:r>
          </w:p>
        </w:tc>
        <w:tc>
          <w:tcPr>
            <w:tcW w:w="2233" w:type="dxa"/>
            <w:tcBorders>
              <w:top w:val="single" w:color="auto" w:sz="4" w:space="0"/>
              <w:left w:val="single" w:color="auto" w:sz="4" w:space="0"/>
              <w:bottom w:val="single" w:color="auto" w:sz="4" w:space="0"/>
              <w:right w:val="single" w:color="auto" w:sz="4" w:space="0"/>
            </w:tcBorders>
          </w:tcPr>
          <w:p w14:paraId="787830F6">
            <w:pPr>
              <w:spacing w:after="0" w:line="252" w:lineRule="auto"/>
              <w:ind w:left="42"/>
              <w:jc w:val="center"/>
              <w:rPr>
                <w:rFonts w:ascii="Times New Roman" w:hAnsi="Times New Roman" w:eastAsia="Times New Roman"/>
                <w:sz w:val="24"/>
                <w:szCs w:val="24"/>
                <w:lang w:eastAsia="hr-HR"/>
              </w:rPr>
            </w:pPr>
            <w:r>
              <w:rPr>
                <w:rFonts w:ascii="Times New Roman" w:hAnsi="Times New Roman" w:eastAsia="Times New Roman"/>
                <w:sz w:val="24"/>
                <w:szCs w:val="24"/>
                <w:lang w:eastAsia="hr-HR"/>
              </w:rPr>
              <w:t>4</w:t>
            </w:r>
          </w:p>
        </w:tc>
      </w:tr>
      <w:tr w14:paraId="6A64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448" w:type="dxa"/>
            <w:tcBorders>
              <w:top w:val="single" w:color="auto" w:sz="4" w:space="0"/>
              <w:left w:val="single" w:color="auto" w:sz="4" w:space="0"/>
              <w:bottom w:val="single" w:color="auto" w:sz="4" w:space="0"/>
              <w:right w:val="single" w:color="auto" w:sz="4" w:space="0"/>
            </w:tcBorders>
          </w:tcPr>
          <w:p w14:paraId="0557464E">
            <w:pPr>
              <w:spacing w:after="0" w:line="252"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do 50 članova</w:t>
            </w:r>
          </w:p>
        </w:tc>
        <w:tc>
          <w:tcPr>
            <w:tcW w:w="2233" w:type="dxa"/>
            <w:tcBorders>
              <w:top w:val="single" w:color="auto" w:sz="4" w:space="0"/>
              <w:left w:val="single" w:color="auto" w:sz="4" w:space="0"/>
              <w:bottom w:val="single" w:color="auto" w:sz="4" w:space="0"/>
              <w:right w:val="single" w:color="auto" w:sz="4" w:space="0"/>
            </w:tcBorders>
          </w:tcPr>
          <w:p w14:paraId="0030C78D">
            <w:pPr>
              <w:spacing w:after="0" w:line="252" w:lineRule="auto"/>
              <w:ind w:left="42"/>
              <w:jc w:val="center"/>
              <w:rPr>
                <w:rFonts w:ascii="Times New Roman" w:hAnsi="Times New Roman" w:eastAsia="Times New Roman"/>
                <w:sz w:val="24"/>
                <w:szCs w:val="24"/>
                <w:lang w:eastAsia="hr-HR"/>
              </w:rPr>
            </w:pPr>
            <w:r>
              <w:rPr>
                <w:rFonts w:ascii="Times New Roman" w:hAnsi="Times New Roman" w:eastAsia="Times New Roman"/>
                <w:sz w:val="24"/>
                <w:szCs w:val="24"/>
                <w:lang w:eastAsia="hr-HR"/>
              </w:rPr>
              <w:t>3</w:t>
            </w:r>
          </w:p>
        </w:tc>
      </w:tr>
    </w:tbl>
    <w:p w14:paraId="1D912E2B">
      <w:pPr>
        <w:spacing w:after="0"/>
        <w:jc w:val="both"/>
        <w:rPr>
          <w:rFonts w:ascii="Times New Roman" w:hAnsi="Times New Roman"/>
          <w:sz w:val="24"/>
          <w:szCs w:val="24"/>
        </w:rPr>
      </w:pPr>
    </w:p>
    <w:p w14:paraId="65A4F745">
      <w:pPr>
        <w:spacing w:after="0"/>
        <w:jc w:val="both"/>
        <w:rPr>
          <w:rFonts w:ascii="Times New Roman" w:hAnsi="Times New Roman"/>
          <w:sz w:val="24"/>
          <w:szCs w:val="24"/>
        </w:rPr>
      </w:pPr>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28" w:type="dxa"/>
          <w:left w:w="113" w:type="dxa"/>
          <w:bottom w:w="28" w:type="dxa"/>
          <w:right w:w="0" w:type="dxa"/>
        </w:tblCellMar>
      </w:tblPr>
      <w:tblGrid>
        <w:gridCol w:w="9899"/>
      </w:tblGrid>
      <w:tr w14:paraId="46188F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28" w:type="dxa"/>
            <w:left w:w="113" w:type="dxa"/>
            <w:bottom w:w="28" w:type="dxa"/>
            <w:right w:w="0" w:type="dxa"/>
          </w:tblCellMar>
        </w:tblPrEx>
        <w:trPr>
          <w:trHeight w:val="308" w:hRule="exact"/>
        </w:trPr>
        <w:tc>
          <w:tcPr>
            <w:tcW w:w="5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04AEEF22">
            <w:pPr>
              <w:widowControl w:val="0"/>
              <w:suppressLineNumbers/>
              <w:snapToGrid w:val="0"/>
              <w:rPr>
                <w:rFonts w:ascii="Times New Roman" w:hAnsi="Times New Roman"/>
                <w:b/>
                <w:bCs/>
                <w:sz w:val="24"/>
                <w:szCs w:val="24"/>
              </w:rPr>
            </w:pPr>
            <w:r>
              <w:rPr>
                <w:rFonts w:ascii="Times New Roman" w:hAnsi="Times New Roman"/>
                <w:b/>
                <w:bCs/>
                <w:sz w:val="24"/>
                <w:szCs w:val="24"/>
              </w:rPr>
              <w:t>Uvjeti za odobravanje bespovratnih novčanih potpora</w:t>
            </w:r>
          </w:p>
        </w:tc>
      </w:tr>
    </w:tbl>
    <w:p w14:paraId="3741D754">
      <w:pPr>
        <w:spacing w:before="27" w:after="0"/>
        <w:contextualSpacing/>
        <w:jc w:val="both"/>
        <w:textAlignment w:val="baseline"/>
        <w:rPr>
          <w:rFonts w:ascii="Times New Roman" w:hAnsi="Times New Roman"/>
          <w:sz w:val="16"/>
          <w:szCs w:val="16"/>
        </w:rPr>
      </w:pPr>
    </w:p>
    <w:p w14:paraId="73EE8FD9">
      <w:pPr>
        <w:spacing w:before="27" w:after="0"/>
        <w:contextualSpacing/>
        <w:jc w:val="both"/>
        <w:textAlignment w:val="baseline"/>
        <w:rPr>
          <w:rFonts w:ascii="Times New Roman" w:hAnsi="Times New Roman" w:eastAsia="Times New Roman"/>
          <w:b/>
          <w:iCs/>
          <w:color w:val="231F20"/>
          <w:sz w:val="24"/>
          <w:szCs w:val="24"/>
          <w:lang w:val="en-US" w:eastAsia="hr-HR"/>
        </w:rPr>
      </w:pPr>
      <w:r>
        <w:rPr>
          <w:rFonts w:ascii="Times New Roman" w:hAnsi="Times New Roman"/>
          <w:sz w:val="24"/>
          <w:szCs w:val="24"/>
        </w:rPr>
        <w:t xml:space="preserve">Prihvatljivi troškovi po Javnom pozivu </w:t>
      </w:r>
      <w:r>
        <w:rPr>
          <w:rFonts w:ascii="Times New Roman" w:hAnsi="Times New Roman" w:eastAsia="Times New Roman"/>
          <w:iCs/>
          <w:color w:val="231F20"/>
          <w:sz w:val="24"/>
          <w:szCs w:val="24"/>
          <w:lang w:eastAsia="hr-HR"/>
        </w:rPr>
        <w:t>su oni koji se odnose na razdoblje</w:t>
      </w:r>
      <w:r>
        <w:rPr>
          <w:rFonts w:ascii="Times New Roman" w:hAnsi="Times New Roman" w:eastAsia="Times New Roman"/>
          <w:b/>
          <w:iCs/>
          <w:color w:val="231F20"/>
          <w:sz w:val="24"/>
          <w:szCs w:val="24"/>
          <w:lang w:eastAsia="hr-HR"/>
        </w:rPr>
        <w:t xml:space="preserve"> </w:t>
      </w:r>
      <w:r>
        <w:rPr>
          <w:rFonts w:ascii="Times New Roman" w:hAnsi="Times New Roman" w:eastAsia="Times New Roman"/>
          <w:b/>
          <w:iCs/>
          <w:color w:val="231F20"/>
          <w:sz w:val="24"/>
          <w:szCs w:val="24"/>
          <w:lang w:val="en-US" w:eastAsia="hr-HR"/>
        </w:rPr>
        <w:t>od 1</w:t>
      </w:r>
      <w:r>
        <w:rPr>
          <w:rFonts w:ascii="Times New Roman" w:hAnsi="Times New Roman" w:eastAsia="Times New Roman"/>
          <w:b/>
          <w:iCs/>
          <w:color w:val="231F20"/>
          <w:sz w:val="24"/>
          <w:szCs w:val="24"/>
          <w:lang w:eastAsia="hr-HR"/>
        </w:rPr>
        <w:t>. listopada 2024. godine do 31. prosinca 2025. godine</w:t>
      </w:r>
      <w:r>
        <w:rPr>
          <w:rFonts w:ascii="Times New Roman" w:hAnsi="Times New Roman" w:eastAsia="Times New Roman"/>
          <w:b/>
          <w:iCs/>
          <w:color w:val="231F20"/>
          <w:sz w:val="24"/>
          <w:szCs w:val="24"/>
          <w:lang w:val="en-US" w:eastAsia="hr-HR"/>
        </w:rPr>
        <w:t>:</w:t>
      </w:r>
    </w:p>
    <w:p w14:paraId="22116BF9">
      <w:pPr>
        <w:spacing w:before="27" w:after="0"/>
        <w:contextualSpacing/>
        <w:jc w:val="both"/>
        <w:textAlignment w:val="baseline"/>
        <w:rPr>
          <w:rFonts w:ascii="Times New Roman" w:hAnsi="Times New Roman" w:eastAsia="Times New Roman"/>
          <w:b/>
          <w:iCs/>
          <w:color w:val="231F20"/>
          <w:sz w:val="24"/>
          <w:szCs w:val="24"/>
          <w:lang w:val="en-US" w:eastAsia="hr-HR"/>
        </w:rPr>
      </w:pPr>
    </w:p>
    <w:p w14:paraId="1167F7EA">
      <w:pPr>
        <w:pStyle w:val="39"/>
        <w:numPr>
          <w:ilvl w:val="0"/>
          <w:numId w:val="4"/>
        </w:numPr>
        <w:spacing w:before="27" w:after="0" w:line="240" w:lineRule="auto"/>
        <w:contextualSpacing/>
        <w:jc w:val="both"/>
        <w:textAlignment w:val="baseline"/>
        <w:rPr>
          <w:rFonts w:ascii="Times New Roman" w:hAnsi="Times New Roman"/>
          <w:sz w:val="24"/>
          <w:szCs w:val="24"/>
        </w:rPr>
      </w:pPr>
      <w:r>
        <w:rPr>
          <w:rFonts w:ascii="Times New Roman" w:hAnsi="Times New Roman" w:eastAsia="Times New Roman"/>
          <w:bCs/>
          <w:sz w:val="24"/>
          <w:szCs w:val="24"/>
          <w:lang w:eastAsia="hr-HR"/>
        </w:rPr>
        <w:t xml:space="preserve">Za podnošenje prijave za sufinanciranje troškova nastalih </w:t>
      </w:r>
      <w:r>
        <w:rPr>
          <w:rFonts w:ascii="Times New Roman" w:hAnsi="Times New Roman" w:eastAsia="Times New Roman"/>
          <w:b/>
          <w:sz w:val="24"/>
          <w:szCs w:val="24"/>
          <w:lang w:eastAsia="hr-HR"/>
        </w:rPr>
        <w:t>do dana objave Javnog poziva</w:t>
      </w:r>
      <w:r>
        <w:rPr>
          <w:rFonts w:ascii="Times New Roman" w:hAnsi="Times New Roman" w:eastAsia="Times New Roman"/>
          <w:bCs/>
          <w:sz w:val="24"/>
          <w:szCs w:val="24"/>
          <w:lang w:eastAsia="hr-HR"/>
        </w:rPr>
        <w:t xml:space="preserve"> </w:t>
      </w:r>
      <w:r>
        <w:rPr>
          <w:rFonts w:ascii="Times New Roman" w:hAnsi="Times New Roman"/>
          <w:sz w:val="24"/>
          <w:szCs w:val="24"/>
        </w:rPr>
        <w:t>prihvatljivi troškovi moraju biti podmireni u cijelosti, što se dokazuje:</w:t>
      </w:r>
    </w:p>
    <w:p w14:paraId="5C9E9849">
      <w:pPr>
        <w:spacing w:before="27" w:after="0" w:line="240" w:lineRule="auto"/>
        <w:ind w:firstLine="708"/>
        <w:jc w:val="both"/>
        <w:textAlignment w:val="baseline"/>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računom</w:t>
      </w:r>
    </w:p>
    <w:p w14:paraId="4B44FEE9">
      <w:pPr>
        <w:spacing w:before="27" w:after="0" w:line="240" w:lineRule="auto"/>
        <w:ind w:firstLine="708"/>
        <w:jc w:val="both"/>
        <w:textAlignment w:val="baseline"/>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 </w:t>
      </w:r>
      <w:r>
        <w:rPr>
          <w:rFonts w:ascii="Times New Roman" w:hAnsi="Times New Roman"/>
          <w:sz w:val="24"/>
          <w:szCs w:val="24"/>
        </w:rPr>
        <w:t>ugovorom</w:t>
      </w:r>
    </w:p>
    <w:p w14:paraId="30F41B0B">
      <w:pPr>
        <w:spacing w:before="27" w:after="0" w:line="240" w:lineRule="auto"/>
        <w:ind w:left="851" w:hanging="143"/>
        <w:textAlignment w:val="baseline"/>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 </w:t>
      </w:r>
      <w:r>
        <w:rPr>
          <w:rFonts w:ascii="Times New Roman" w:hAnsi="Times New Roman"/>
          <w:sz w:val="24"/>
          <w:szCs w:val="24"/>
        </w:rPr>
        <w:t>gotovinskim  plaćanjem - preslika  fiskaliziranog  gotovinskog  računa  ispostavljenog  na  korisnika</w:t>
      </w:r>
    </w:p>
    <w:p w14:paraId="1FBE4C24">
      <w:pPr>
        <w:spacing w:before="27" w:after="0" w:line="240" w:lineRule="auto"/>
        <w:ind w:left="851" w:hanging="131"/>
        <w:contextualSpacing/>
        <w:jc w:val="both"/>
        <w:textAlignment w:val="baseline"/>
        <w:rPr>
          <w:rFonts w:ascii="Times New Roman" w:hAnsi="Times New Roman"/>
          <w:sz w:val="24"/>
          <w:szCs w:val="24"/>
        </w:rPr>
      </w:pPr>
      <w:r>
        <w:rPr>
          <w:rFonts w:ascii="Times New Roman" w:hAnsi="Times New Roman"/>
          <w:sz w:val="24"/>
          <w:szCs w:val="24"/>
        </w:rPr>
        <w:t>- bezgotovinskim plaćanjem - preslika računa ispostavljenog na korisnika plaćenog s poslovnog (ŽIRO)  računa korisnika (bankovni izvod)</w:t>
      </w:r>
    </w:p>
    <w:p w14:paraId="627BBE11">
      <w:pPr>
        <w:spacing w:before="27" w:after="0" w:line="240" w:lineRule="auto"/>
        <w:ind w:left="851" w:hanging="131"/>
        <w:contextualSpacing/>
        <w:jc w:val="both"/>
        <w:textAlignment w:val="baseline"/>
        <w:rPr>
          <w:rFonts w:ascii="Times New Roman" w:hAnsi="Times New Roman"/>
          <w:sz w:val="24"/>
          <w:szCs w:val="24"/>
        </w:rPr>
      </w:pPr>
      <w:r>
        <w:rPr>
          <w:rFonts w:ascii="Times New Roman" w:hAnsi="Times New Roman"/>
          <w:sz w:val="24"/>
          <w:szCs w:val="24"/>
        </w:rPr>
        <w:t>- kreditom - preslika računa ispostavljenog na korisnika plaćenog s poslovnog (ŽIRO) računa korisnika ili kreditnog računa korisnika (bankovni izvod).</w:t>
      </w:r>
    </w:p>
    <w:p w14:paraId="40378CD5">
      <w:pPr>
        <w:spacing w:before="27" w:after="0" w:line="240" w:lineRule="auto"/>
        <w:ind w:left="709" w:firstLine="11"/>
        <w:jc w:val="both"/>
        <w:textAlignment w:val="baseline"/>
        <w:rPr>
          <w:rFonts w:ascii="Times New Roman" w:hAnsi="Times New Roman"/>
          <w:sz w:val="24"/>
          <w:szCs w:val="24"/>
        </w:rPr>
      </w:pPr>
    </w:p>
    <w:p w14:paraId="2E22AE7B">
      <w:pPr>
        <w:spacing w:before="27" w:after="0" w:line="240" w:lineRule="auto"/>
        <w:ind w:left="709" w:firstLine="11"/>
        <w:jc w:val="both"/>
        <w:textAlignment w:val="baseline"/>
        <w:rPr>
          <w:rFonts w:ascii="Times New Roman" w:hAnsi="Times New Roman"/>
          <w:sz w:val="24"/>
          <w:szCs w:val="24"/>
        </w:rPr>
      </w:pPr>
    </w:p>
    <w:p w14:paraId="038C7C21">
      <w:pPr>
        <w:pStyle w:val="39"/>
        <w:numPr>
          <w:ilvl w:val="0"/>
          <w:numId w:val="5"/>
        </w:numPr>
        <w:spacing w:before="27" w:after="0"/>
        <w:contextualSpacing/>
        <w:jc w:val="both"/>
        <w:textAlignment w:val="baseline"/>
        <w:rPr>
          <w:rFonts w:ascii="Times New Roman" w:hAnsi="Times New Roman" w:eastAsia="Times New Roman"/>
          <w:sz w:val="24"/>
          <w:szCs w:val="24"/>
          <w:lang w:eastAsia="hr-HR"/>
        </w:rPr>
      </w:pPr>
      <w:r>
        <w:rPr>
          <w:rFonts w:ascii="Times New Roman" w:hAnsi="Times New Roman" w:eastAsia="Times New Roman"/>
          <w:bCs/>
          <w:color w:val="231F20"/>
          <w:sz w:val="24"/>
          <w:szCs w:val="24"/>
          <w:lang w:eastAsia="hr-HR"/>
        </w:rPr>
        <w:t>Za podnošenje prijave za sufinanciranje troškova</w:t>
      </w:r>
      <w:r>
        <w:rPr>
          <w:rFonts w:ascii="Times New Roman" w:hAnsi="Times New Roman" w:eastAsia="Times New Roman"/>
          <w:b/>
          <w:color w:val="231F20"/>
          <w:sz w:val="24"/>
          <w:szCs w:val="24"/>
          <w:lang w:eastAsia="hr-HR"/>
        </w:rPr>
        <w:t xml:space="preserve"> koji se odnose na razdoblje nakon </w:t>
      </w:r>
      <w:r>
        <w:rPr>
          <w:rFonts w:ascii="Times New Roman" w:hAnsi="Times New Roman" w:eastAsia="Times New Roman"/>
          <w:b/>
          <w:iCs/>
          <w:color w:val="231F20"/>
          <w:sz w:val="24"/>
          <w:szCs w:val="24"/>
          <w:lang w:eastAsia="hr-HR"/>
        </w:rPr>
        <w:t>objave Javnog poziva</w:t>
      </w:r>
      <w:r>
        <w:rPr>
          <w:rFonts w:ascii="Times New Roman" w:hAnsi="Times New Roman" w:eastAsia="Times New Roman"/>
          <w:bCs/>
          <w:iCs/>
          <w:color w:val="231F20"/>
          <w:sz w:val="24"/>
          <w:szCs w:val="24"/>
          <w:lang w:eastAsia="hr-HR"/>
        </w:rPr>
        <w:t xml:space="preserve"> </w:t>
      </w:r>
      <w:r>
        <w:rPr>
          <w:rFonts w:ascii="Times New Roman" w:hAnsi="Times New Roman" w:eastAsia="Times New Roman"/>
          <w:sz w:val="24"/>
          <w:szCs w:val="24"/>
          <w:lang w:eastAsia="hr-HR"/>
        </w:rPr>
        <w:t>uz obrazac prijave za sufinanciranje potrebno je dostaviti ponudu, predračun, troškovnik i slično.</w:t>
      </w:r>
    </w:p>
    <w:p w14:paraId="3F82B07E">
      <w:pPr>
        <w:tabs>
          <w:tab w:val="left" w:pos="851"/>
        </w:tabs>
        <w:spacing w:after="0" w:line="240" w:lineRule="auto"/>
        <w:jc w:val="both"/>
        <w:textAlignment w:val="baseline"/>
        <w:rPr>
          <w:rFonts w:ascii="Times New Roman" w:hAnsi="Times New Roman"/>
          <w:iCs/>
          <w:sz w:val="24"/>
          <w:szCs w:val="24"/>
        </w:rPr>
      </w:pPr>
      <w:r>
        <w:rPr>
          <w:rFonts w:ascii="Times New Roman" w:hAnsi="Times New Roman"/>
          <w:iCs/>
          <w:sz w:val="24"/>
          <w:szCs w:val="24"/>
        </w:rPr>
        <w:t>NAPOMENA:</w:t>
      </w:r>
    </w:p>
    <w:p w14:paraId="13B99596">
      <w:pPr>
        <w:tabs>
          <w:tab w:val="left" w:pos="851"/>
        </w:tabs>
        <w:spacing w:after="0" w:line="240" w:lineRule="auto"/>
        <w:jc w:val="both"/>
        <w:textAlignment w:val="baseline"/>
        <w:rPr>
          <w:rFonts w:ascii="Times New Roman" w:hAnsi="Times New Roman"/>
          <w:iCs/>
          <w:sz w:val="24"/>
          <w:szCs w:val="24"/>
        </w:rPr>
      </w:pPr>
      <w:r>
        <w:rPr>
          <w:rFonts w:ascii="Times New Roman" w:hAnsi="Times New Roman"/>
          <w:iCs/>
          <w:sz w:val="24"/>
          <w:szCs w:val="24"/>
        </w:rPr>
        <w:t xml:space="preserve">Dobavljači roba i/ili </w:t>
      </w:r>
      <w:r>
        <w:rPr>
          <w:rFonts w:hint="default" w:ascii="Times New Roman" w:hAnsi="Times New Roman"/>
          <w:iCs/>
          <w:sz w:val="24"/>
          <w:szCs w:val="24"/>
          <w:lang w:val="hr-HR"/>
        </w:rPr>
        <w:t xml:space="preserve">pružatelji </w:t>
      </w:r>
      <w:r>
        <w:rPr>
          <w:rFonts w:ascii="Times New Roman" w:hAnsi="Times New Roman"/>
          <w:iCs/>
          <w:sz w:val="24"/>
          <w:szCs w:val="24"/>
        </w:rPr>
        <w:t>usluga ne mogu biti gospodarski subjekti čiji su vlasnici ili druge odgovorne osobe (direktori i sl.) ujedno i članovi lovoovlaštenika koji nabavlja te robe i/ili</w:t>
      </w:r>
      <w:r>
        <w:rPr>
          <w:rFonts w:hint="default" w:ascii="Times New Roman" w:hAnsi="Times New Roman"/>
          <w:iCs/>
          <w:sz w:val="24"/>
          <w:szCs w:val="24"/>
          <w:lang w:val="hr-HR"/>
        </w:rPr>
        <w:t xml:space="preserve"> pružaju</w:t>
      </w:r>
      <w:r>
        <w:rPr>
          <w:rFonts w:ascii="Times New Roman" w:hAnsi="Times New Roman"/>
          <w:iCs/>
          <w:sz w:val="24"/>
          <w:szCs w:val="24"/>
        </w:rPr>
        <w:t xml:space="preserve"> usluge.</w:t>
      </w:r>
    </w:p>
    <w:p w14:paraId="51AC5DBA">
      <w:pPr>
        <w:tabs>
          <w:tab w:val="left" w:pos="851"/>
        </w:tabs>
        <w:spacing w:after="0" w:line="240" w:lineRule="auto"/>
        <w:jc w:val="both"/>
        <w:textAlignment w:val="baseline"/>
        <w:rPr>
          <w:rFonts w:ascii="Times New Roman" w:hAnsi="Times New Roman"/>
          <w:iCs/>
          <w:sz w:val="24"/>
          <w:szCs w:val="24"/>
          <w:vertAlign w:val="subscript"/>
        </w:rPr>
      </w:pPr>
    </w:p>
    <w:p w14:paraId="5C949849">
      <w:pPr>
        <w:widowControl w:val="0"/>
        <w:autoSpaceDE w:val="0"/>
        <w:autoSpaceDN w:val="0"/>
        <w:adjustRightInd w:val="0"/>
        <w:spacing w:after="0" w:line="240"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Porez na dodanu vrijednost (PDV) je prihvatljivo ulaganje za korisnike koji nisu evidentirani u Registru obveznika poreza na dodanu vrijednost.</w:t>
      </w:r>
    </w:p>
    <w:p w14:paraId="4BA3220E">
      <w:pPr>
        <w:widowControl w:val="0"/>
        <w:autoSpaceDE w:val="0"/>
        <w:autoSpaceDN w:val="0"/>
        <w:adjustRightInd w:val="0"/>
        <w:spacing w:after="0" w:line="240" w:lineRule="auto"/>
        <w:ind w:firstLine="708"/>
        <w:jc w:val="both"/>
        <w:rPr>
          <w:rFonts w:ascii="Times New Roman" w:hAnsi="Times New Roman"/>
          <w:bCs/>
          <w:color w:val="000000" w:themeColor="text1"/>
          <w:sz w:val="24"/>
          <w:szCs w:val="24"/>
          <w14:textFill>
            <w14:solidFill>
              <w14:schemeClr w14:val="tx1"/>
            </w14:solidFill>
          </w14:textFill>
        </w:rPr>
      </w:pPr>
    </w:p>
    <w:p w14:paraId="4C5E3E63">
      <w:pPr>
        <w:pStyle w:val="39"/>
        <w:widowControl w:val="0"/>
        <w:autoSpaceDE w:val="0"/>
        <w:autoSpaceDN w:val="0"/>
        <w:adjustRightInd w:val="0"/>
        <w:ind w:left="426"/>
        <w:jc w:val="both"/>
        <w:rPr>
          <w:rFonts w:ascii="Times New Roman" w:hAnsi="Times New Roman"/>
          <w:b/>
          <w:color w:val="000000" w:themeColor="text1"/>
          <w:sz w:val="24"/>
          <w:szCs w:val="24"/>
          <w14:textFill>
            <w14:solidFill>
              <w14:schemeClr w14:val="tx1"/>
            </w14:solidFill>
          </w14:textFill>
        </w:rPr>
      </w:pPr>
    </w:p>
    <w:p w14:paraId="568C4ADC">
      <w:pPr>
        <w:pStyle w:val="39"/>
        <w:widowControl w:val="0"/>
        <w:numPr>
          <w:ilvl w:val="0"/>
          <w:numId w:val="1"/>
        </w:numPr>
        <w:autoSpaceDE w:val="0"/>
        <w:autoSpaceDN w:val="0"/>
        <w:adjustRightInd w:val="0"/>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POSTUPAK DODJELE, NAČIN PRIJAVE, ROKOVI, SADRŽAJ I PRILOZI</w:t>
      </w:r>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28" w:type="dxa"/>
          <w:left w:w="113" w:type="dxa"/>
          <w:bottom w:w="28" w:type="dxa"/>
          <w:right w:w="0" w:type="dxa"/>
        </w:tblCellMar>
      </w:tblPr>
      <w:tblGrid>
        <w:gridCol w:w="9899"/>
      </w:tblGrid>
      <w:tr w14:paraId="03A01C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28" w:type="dxa"/>
            <w:left w:w="113" w:type="dxa"/>
            <w:bottom w:w="28" w:type="dxa"/>
            <w:right w:w="0" w:type="dxa"/>
          </w:tblCellMar>
        </w:tblPrEx>
        <w:trPr>
          <w:trHeight w:val="393" w:hRule="exact"/>
        </w:trPr>
        <w:tc>
          <w:tcPr>
            <w:tcW w:w="5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5F20AD2A">
            <w:pPr>
              <w:widowControl w:val="0"/>
              <w:suppressLineNumbers/>
              <w:snapToGrid w:val="0"/>
              <w:rPr>
                <w:rFonts w:ascii="Times New Roman" w:hAnsi="Times New Roman"/>
                <w:b/>
                <w:bCs/>
                <w:sz w:val="24"/>
                <w:szCs w:val="24"/>
              </w:rPr>
            </w:pPr>
            <w:r>
              <w:rPr>
                <w:rFonts w:ascii="Times New Roman" w:hAnsi="Times New Roman"/>
                <w:b/>
                <w:bCs/>
                <w:sz w:val="24"/>
                <w:szCs w:val="24"/>
              </w:rPr>
              <w:t>Postupak dodjele</w:t>
            </w:r>
          </w:p>
        </w:tc>
      </w:tr>
    </w:tbl>
    <w:p w14:paraId="3081419A">
      <w:pPr>
        <w:spacing w:after="0" w:line="240" w:lineRule="auto"/>
        <w:jc w:val="both"/>
        <w:rPr>
          <w:rFonts w:ascii="Times New Roman" w:hAnsi="Times New Roman" w:eastAsia="Times New Roman"/>
          <w:bCs/>
          <w:sz w:val="24"/>
          <w:szCs w:val="24"/>
          <w:lang w:eastAsia="hr-HR"/>
        </w:rPr>
      </w:pPr>
    </w:p>
    <w:p w14:paraId="69BE8490">
      <w:pPr>
        <w:spacing w:after="0" w:line="240" w:lineRule="auto"/>
        <w:ind w:left="360"/>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Postupak dodjele bespovratnih novčanih potpora koji su predmet Javnog poziva provodi se kroz sljedeće aktivnosti:</w:t>
      </w:r>
    </w:p>
    <w:p w14:paraId="4CF07D6D">
      <w:pPr>
        <w:spacing w:after="0" w:line="240" w:lineRule="auto"/>
        <w:ind w:left="360"/>
        <w:jc w:val="both"/>
        <w:rPr>
          <w:rFonts w:ascii="Times New Roman" w:hAnsi="Times New Roman" w:eastAsia="Times New Roman"/>
          <w:bCs/>
          <w:sz w:val="24"/>
          <w:szCs w:val="24"/>
          <w:lang w:eastAsia="hr-HR"/>
        </w:rPr>
      </w:pPr>
    </w:p>
    <w:p w14:paraId="410894C4">
      <w:pPr>
        <w:pStyle w:val="39"/>
        <w:numPr>
          <w:ilvl w:val="0"/>
          <w:numId w:val="6"/>
        </w:numPr>
        <w:spacing w:after="0" w:line="240" w:lineRule="auto"/>
        <w:jc w:val="both"/>
        <w:rPr>
          <w:rFonts w:ascii="Times New Roman" w:hAnsi="Times New Roman" w:eastAsiaTheme="minorHAnsi"/>
          <w:bCs/>
          <w:sz w:val="24"/>
          <w:szCs w:val="24"/>
        </w:rPr>
      </w:pPr>
      <w:r>
        <w:rPr>
          <w:rFonts w:ascii="Times New Roman" w:hAnsi="Times New Roman" w:eastAsia="Times New Roman"/>
          <w:bCs/>
          <w:sz w:val="24"/>
          <w:szCs w:val="24"/>
          <w:lang w:eastAsia="hr-HR"/>
        </w:rPr>
        <w:t xml:space="preserve">donošenje Odluke o raspisivanju Javnog poziva za </w:t>
      </w:r>
      <w:bookmarkStart w:id="17" w:name="_Hlk32236239"/>
      <w:r>
        <w:rPr>
          <w:rFonts w:ascii="Times New Roman" w:hAnsi="Times New Roman" w:eastAsia="Times New Roman"/>
          <w:bCs/>
          <w:sz w:val="24"/>
          <w:szCs w:val="24"/>
          <w:lang w:eastAsia="hr-HR"/>
        </w:rPr>
        <w:t xml:space="preserve">sufinanciranje </w:t>
      </w:r>
      <w:r>
        <w:rPr>
          <w:rFonts w:ascii="Times New Roman" w:hAnsi="Times New Roman" w:eastAsiaTheme="minorHAnsi"/>
          <w:bCs/>
          <w:sz w:val="24"/>
          <w:szCs w:val="24"/>
        </w:rPr>
        <w:t>razvoja lovstva na području Sisačko-moslavačk</w:t>
      </w:r>
      <w:r>
        <w:rPr>
          <w:rFonts w:ascii="Times New Roman" w:hAnsi="Times New Roman" w:eastAsiaTheme="minorHAnsi"/>
          <w:bCs/>
          <w:color w:val="000000" w:themeColor="text1"/>
          <w:sz w:val="24"/>
          <w:szCs w:val="24"/>
          <w14:textFill>
            <w14:solidFill>
              <w14:schemeClr w14:val="tx1"/>
            </w14:solidFill>
          </w14:textFill>
        </w:rPr>
        <w:t>e</w:t>
      </w:r>
      <w:r>
        <w:rPr>
          <w:rFonts w:ascii="Times New Roman" w:hAnsi="Times New Roman" w:eastAsiaTheme="minorHAnsi"/>
          <w:bCs/>
          <w:sz w:val="24"/>
          <w:szCs w:val="24"/>
        </w:rPr>
        <w:t xml:space="preserve"> županije za 2025. godinu</w:t>
      </w:r>
      <w:bookmarkEnd w:id="17"/>
    </w:p>
    <w:p w14:paraId="013FF8B3">
      <w:pPr>
        <w:pStyle w:val="39"/>
        <w:numPr>
          <w:ilvl w:val="0"/>
          <w:numId w:val="6"/>
        </w:numPr>
        <w:spacing w:after="0" w:line="240" w:lineRule="auto"/>
        <w:jc w:val="both"/>
        <w:rPr>
          <w:rFonts w:ascii="Times New Roman" w:hAnsi="Times New Roman" w:eastAsiaTheme="minorHAnsi"/>
          <w:bCs/>
          <w:sz w:val="24"/>
          <w:szCs w:val="24"/>
        </w:rPr>
      </w:pPr>
      <w:r>
        <w:rPr>
          <w:rFonts w:ascii="Times New Roman" w:hAnsi="Times New Roman" w:eastAsiaTheme="minorHAnsi"/>
          <w:bCs/>
          <w:sz w:val="24"/>
          <w:szCs w:val="24"/>
        </w:rPr>
        <w:t>objava Javnog poziva</w:t>
      </w:r>
    </w:p>
    <w:p w14:paraId="0E34A82C">
      <w:pPr>
        <w:pStyle w:val="39"/>
        <w:numPr>
          <w:ilvl w:val="0"/>
          <w:numId w:val="6"/>
        </w:numPr>
        <w:spacing w:after="0" w:line="240" w:lineRule="auto"/>
        <w:jc w:val="both"/>
        <w:rPr>
          <w:rFonts w:ascii="Times New Roman" w:hAnsi="Times New Roman" w:eastAsiaTheme="minorHAnsi"/>
          <w:bCs/>
          <w:sz w:val="24"/>
          <w:szCs w:val="24"/>
        </w:rPr>
      </w:pPr>
      <w:r>
        <w:rPr>
          <w:rFonts w:ascii="Times New Roman" w:hAnsi="Times New Roman" w:eastAsiaTheme="minorHAnsi"/>
          <w:bCs/>
          <w:sz w:val="24"/>
          <w:szCs w:val="24"/>
        </w:rPr>
        <w:t xml:space="preserve">otvaranje prijava i utvrđivanje udovoljavanju formalnim uvjetima Javnog poziva </w:t>
      </w:r>
    </w:p>
    <w:p w14:paraId="15245BDB">
      <w:pPr>
        <w:pStyle w:val="39"/>
        <w:numPr>
          <w:ilvl w:val="0"/>
          <w:numId w:val="6"/>
        </w:numPr>
        <w:spacing w:after="0" w:line="240" w:lineRule="auto"/>
        <w:jc w:val="both"/>
        <w:rPr>
          <w:rFonts w:ascii="Times New Roman" w:hAnsi="Times New Roman" w:eastAsiaTheme="minorHAnsi"/>
          <w:bCs/>
          <w:sz w:val="24"/>
          <w:szCs w:val="24"/>
        </w:rPr>
      </w:pPr>
      <w:r>
        <w:rPr>
          <w:rFonts w:ascii="Times New Roman" w:hAnsi="Times New Roman" w:eastAsiaTheme="minorHAnsi"/>
          <w:bCs/>
          <w:sz w:val="24"/>
          <w:szCs w:val="24"/>
        </w:rPr>
        <w:t>pregledavanje i ocjenjivanje prijava, te utvrđivanje prijedloga korisnika bespovratnih novčanih potpora</w:t>
      </w:r>
    </w:p>
    <w:p w14:paraId="2EE4A48F">
      <w:pPr>
        <w:pStyle w:val="39"/>
        <w:numPr>
          <w:ilvl w:val="0"/>
          <w:numId w:val="6"/>
        </w:numPr>
        <w:spacing w:after="0" w:line="240" w:lineRule="auto"/>
        <w:jc w:val="both"/>
        <w:rPr>
          <w:rFonts w:ascii="Times New Roman" w:hAnsi="Times New Roman" w:eastAsiaTheme="minorHAnsi"/>
          <w:bCs/>
          <w:sz w:val="24"/>
          <w:szCs w:val="24"/>
        </w:rPr>
      </w:pPr>
      <w:r>
        <w:rPr>
          <w:rFonts w:ascii="Times New Roman" w:hAnsi="Times New Roman" w:eastAsiaTheme="minorHAnsi"/>
          <w:bCs/>
          <w:sz w:val="24"/>
          <w:szCs w:val="24"/>
        </w:rPr>
        <w:t>postupanje po prigovorima</w:t>
      </w:r>
    </w:p>
    <w:p w14:paraId="1489C26E">
      <w:pPr>
        <w:pStyle w:val="39"/>
        <w:numPr>
          <w:ilvl w:val="0"/>
          <w:numId w:val="6"/>
        </w:numPr>
        <w:spacing w:after="0" w:line="240" w:lineRule="auto"/>
        <w:jc w:val="both"/>
        <w:rPr>
          <w:rFonts w:ascii="Times New Roman" w:hAnsi="Times New Roman" w:eastAsiaTheme="minorHAnsi"/>
          <w:bCs/>
          <w:sz w:val="24"/>
          <w:szCs w:val="24"/>
        </w:rPr>
      </w:pPr>
      <w:r>
        <w:rPr>
          <w:rFonts w:ascii="Times New Roman" w:hAnsi="Times New Roman" w:eastAsiaTheme="minorHAnsi"/>
          <w:bCs/>
          <w:sz w:val="24"/>
          <w:szCs w:val="24"/>
        </w:rPr>
        <w:t xml:space="preserve">donošenje Odluke o dodjeli bespovratnih novčanih potpora od strane župana </w:t>
      </w:r>
    </w:p>
    <w:p w14:paraId="03F4A1D6">
      <w:pPr>
        <w:pStyle w:val="39"/>
        <w:numPr>
          <w:ilvl w:val="0"/>
          <w:numId w:val="6"/>
        </w:numPr>
        <w:spacing w:after="0" w:line="240" w:lineRule="auto"/>
        <w:jc w:val="both"/>
        <w:rPr>
          <w:rFonts w:ascii="Times New Roman" w:hAnsi="Times New Roman" w:eastAsiaTheme="minorHAnsi"/>
          <w:bCs/>
          <w:sz w:val="24"/>
          <w:szCs w:val="24"/>
        </w:rPr>
      </w:pPr>
      <w:r>
        <w:rPr>
          <w:rFonts w:ascii="Times New Roman" w:hAnsi="Times New Roman" w:eastAsia="Times New Roman"/>
          <w:sz w:val="24"/>
          <w:szCs w:val="24"/>
          <w:lang w:eastAsia="hr-HR"/>
        </w:rPr>
        <w:t>sklapanje Ugovora</w:t>
      </w:r>
    </w:p>
    <w:p w14:paraId="5AF13C7C">
      <w:pPr>
        <w:pStyle w:val="39"/>
        <w:numPr>
          <w:ilvl w:val="0"/>
          <w:numId w:val="6"/>
        </w:numPr>
        <w:spacing w:after="0" w:line="240" w:lineRule="auto"/>
        <w:jc w:val="both"/>
        <w:rPr>
          <w:rFonts w:ascii="Times New Roman" w:hAnsi="Times New Roman"/>
          <w:sz w:val="24"/>
          <w:szCs w:val="24"/>
        </w:rPr>
      </w:pPr>
      <w:r>
        <w:rPr>
          <w:rFonts w:ascii="Times New Roman" w:hAnsi="Times New Roman" w:eastAsiaTheme="minorHAnsi"/>
          <w:sz w:val="24"/>
          <w:szCs w:val="24"/>
        </w:rPr>
        <w:t>praćenje i izvješćivanje o provedbi korištenja bespovratnih novčanih potpora.</w:t>
      </w:r>
    </w:p>
    <w:p w14:paraId="73AA49E8">
      <w:pPr>
        <w:spacing w:after="0" w:line="240" w:lineRule="auto"/>
        <w:rPr>
          <w:rFonts w:ascii="Times New Roman" w:hAnsi="Times New Roman"/>
          <w:sz w:val="24"/>
          <w:szCs w:val="24"/>
        </w:rPr>
      </w:pPr>
    </w:p>
    <w:p w14:paraId="66E23E2B">
      <w:pPr>
        <w:spacing w:after="0" w:line="240" w:lineRule="auto"/>
        <w:rPr>
          <w:rFonts w:ascii="Times New Roman" w:hAnsi="Times New Roman"/>
          <w:sz w:val="24"/>
          <w:szCs w:val="24"/>
        </w:rPr>
      </w:pPr>
    </w:p>
    <w:tbl>
      <w:tblPr>
        <w:tblStyle w:val="13"/>
        <w:tblW w:w="7391" w:type="pct"/>
        <w:tblInd w:w="-1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28" w:type="dxa"/>
          <w:left w:w="113" w:type="dxa"/>
          <w:bottom w:w="28" w:type="dxa"/>
          <w:right w:w="0" w:type="dxa"/>
        </w:tblCellMar>
      </w:tblPr>
      <w:tblGrid>
        <w:gridCol w:w="149"/>
        <w:gridCol w:w="9901"/>
        <w:gridCol w:w="146"/>
        <w:gridCol w:w="4437"/>
      </w:tblGrid>
      <w:tr w14:paraId="77CF9E0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28" w:type="dxa"/>
            <w:left w:w="113" w:type="dxa"/>
            <w:bottom w:w="28" w:type="dxa"/>
            <w:right w:w="0" w:type="dxa"/>
          </w:tblCellMar>
        </w:tblPrEx>
        <w:trPr>
          <w:gridBefore w:val="1"/>
          <w:gridAfter w:val="2"/>
          <w:wBefore w:w="51" w:type="pct"/>
          <w:wAfter w:w="1566" w:type="pct"/>
          <w:trHeight w:val="331" w:hRule="exact"/>
        </w:trPr>
        <w:tc>
          <w:tcPr>
            <w:tcW w:w="3383"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1077DF40">
            <w:pPr>
              <w:widowControl w:val="0"/>
              <w:suppressLineNumbers/>
              <w:snapToGrid w:val="0"/>
              <w:spacing w:after="0"/>
              <w:rPr>
                <w:rFonts w:ascii="Times New Roman" w:hAnsi="Times New Roman"/>
                <w:b/>
                <w:bCs/>
                <w:sz w:val="24"/>
                <w:szCs w:val="24"/>
              </w:rPr>
            </w:pPr>
            <w:r>
              <w:rPr>
                <w:rFonts w:ascii="Times New Roman" w:hAnsi="Times New Roman"/>
                <w:b/>
                <w:bCs/>
                <w:sz w:val="24"/>
                <w:szCs w:val="24"/>
              </w:rPr>
              <w:t>Kako se prijaviti?</w:t>
            </w:r>
          </w:p>
          <w:p w14:paraId="61BC55BE">
            <w:pPr>
              <w:widowControl w:val="0"/>
              <w:suppressLineNumbers/>
              <w:snapToGrid w:val="0"/>
              <w:spacing w:after="0"/>
              <w:rPr>
                <w:rFonts w:ascii="Times New Roman" w:hAnsi="Times New Roman"/>
                <w:b/>
                <w:bCs/>
                <w:sz w:val="24"/>
                <w:szCs w:val="24"/>
              </w:rPr>
            </w:pPr>
          </w:p>
          <w:p w14:paraId="11323C68">
            <w:pPr>
              <w:pStyle w:val="39"/>
              <w:pBdr>
                <w:top w:val="single" w:color="auto" w:sz="4" w:space="1"/>
                <w:left w:val="single" w:color="auto" w:sz="4" w:space="4"/>
                <w:bottom w:val="single" w:color="auto" w:sz="4" w:space="1"/>
                <w:right w:val="single" w:color="auto" w:sz="4" w:space="4"/>
              </w:pBdr>
              <w:shd w:val="clear" w:color="auto" w:fill="FFFF99"/>
              <w:spacing w:after="0" w:line="360" w:lineRule="auto"/>
              <w:ind w:left="0"/>
              <w:jc w:val="both"/>
              <w:rPr>
                <w:rFonts w:ascii="Times New Roman" w:hAnsi="Times New Roman"/>
                <w:b/>
                <w:sz w:val="24"/>
                <w:szCs w:val="24"/>
              </w:rPr>
            </w:pPr>
            <w:r>
              <w:rPr>
                <w:rFonts w:ascii="Times New Roman" w:hAnsi="Times New Roman"/>
                <w:b/>
                <w:sz w:val="24"/>
                <w:szCs w:val="24"/>
              </w:rPr>
              <w:t xml:space="preserve">PJAVA PROJEKTA PUTEM RAČUNALNE APLIKACIJE vUprava:                             </w:t>
            </w:r>
            <w:r>
              <w:rPr>
                <w:rFonts w:ascii="Times New Roman" w:hAnsi="Times New Roman"/>
                <w:b/>
                <w:color w:val="C00000"/>
                <w:sz w:val="24"/>
                <w:szCs w:val="24"/>
              </w:rPr>
              <w:t>***NOVO U 2018.***</w:t>
            </w:r>
          </w:p>
          <w:p w14:paraId="4F442837">
            <w:pPr>
              <w:widowControl w:val="0"/>
              <w:suppressLineNumbers/>
              <w:snapToGrid w:val="0"/>
              <w:spacing w:after="0"/>
              <w:rPr>
                <w:rFonts w:ascii="Times New Roman" w:hAnsi="Times New Roman"/>
                <w:b/>
                <w:bCs/>
                <w:sz w:val="24"/>
                <w:szCs w:val="24"/>
              </w:rPr>
            </w:pPr>
          </w:p>
          <w:p w14:paraId="04C795EF">
            <w:pPr>
              <w:widowControl w:val="0"/>
              <w:suppressLineNumbers/>
              <w:snapToGrid w:val="0"/>
              <w:spacing w:after="0"/>
              <w:rPr>
                <w:rFonts w:ascii="Times New Roman" w:hAnsi="Times New Roman"/>
                <w:b/>
                <w:bCs/>
                <w:sz w:val="24"/>
                <w:szCs w:val="24"/>
              </w:rPr>
            </w:pPr>
          </w:p>
        </w:tc>
      </w:tr>
      <w:tr w14:paraId="3F26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3484" w:type="pct"/>
            <w:gridSpan w:val="3"/>
            <w:shd w:val="clear" w:color="auto" w:fill="auto"/>
          </w:tcPr>
          <w:p w14:paraId="72EE7930">
            <w:pPr>
              <w:pStyle w:val="28"/>
            </w:pPr>
          </w:p>
          <w:p w14:paraId="41AC1003">
            <w:pPr>
              <w:pStyle w:val="28"/>
              <w:jc w:val="both"/>
              <w:rPr>
                <w:rFonts w:ascii="Times New Roman" w:hAnsi="Times New Roman" w:cs="Times New Roman"/>
                <w:i w:val="0"/>
                <w:iCs/>
                <w:sz w:val="24"/>
              </w:rPr>
            </w:pPr>
            <w:r>
              <w:rPr>
                <w:rFonts w:ascii="Times New Roman" w:hAnsi="Times New Roman" w:cs="Times New Roman"/>
                <w:i w:val="0"/>
                <w:iCs/>
                <w:sz w:val="24"/>
              </w:rPr>
              <w:t>Prijave za sufinanciranje razvoja lovstva na području Sisačko-moslavačk</w:t>
            </w:r>
            <w:r>
              <w:rPr>
                <w:rFonts w:ascii="Times New Roman" w:hAnsi="Times New Roman" w:cs="Times New Roman"/>
                <w:i w:val="0"/>
                <w:iCs/>
                <w:color w:val="000000" w:themeColor="text1"/>
                <w:sz w:val="24"/>
                <w14:textFill>
                  <w14:solidFill>
                    <w14:schemeClr w14:val="tx1"/>
                  </w14:solidFill>
                </w14:textFill>
              </w:rPr>
              <w:t>e</w:t>
            </w:r>
            <w:r>
              <w:rPr>
                <w:rFonts w:ascii="Times New Roman" w:hAnsi="Times New Roman" w:cs="Times New Roman"/>
                <w:i w:val="0"/>
                <w:iCs/>
                <w:sz w:val="24"/>
              </w:rPr>
              <w:t xml:space="preserve"> županije dostavljaju se na propisanim obrascima na jedan od sljedećih načina:</w:t>
            </w:r>
          </w:p>
          <w:p w14:paraId="00EF1A63">
            <w:pPr>
              <w:pStyle w:val="28"/>
              <w:jc w:val="both"/>
              <w:rPr>
                <w:rFonts w:ascii="Times New Roman" w:hAnsi="Times New Roman" w:cs="Times New Roman"/>
                <w:i w:val="0"/>
                <w:iCs/>
                <w:sz w:val="24"/>
              </w:rPr>
            </w:pPr>
          </w:p>
          <w:p w14:paraId="6FD3EC87">
            <w:pPr>
              <w:pStyle w:val="39"/>
              <w:numPr>
                <w:ilvl w:val="0"/>
                <w:numId w:val="7"/>
              </w:numPr>
              <w:spacing w:after="0" w:line="240" w:lineRule="auto"/>
              <w:ind w:left="601" w:hanging="425"/>
              <w:contextualSpacing/>
              <w:jc w:val="both"/>
              <w:rPr>
                <w:rFonts w:ascii="Times New Roman" w:hAnsi="Times New Roman" w:eastAsia="Times New Roman"/>
                <w:b/>
                <w:bCs/>
                <w:sz w:val="24"/>
                <w:szCs w:val="24"/>
                <w:lang w:eastAsia="hr-HR"/>
              </w:rPr>
            </w:pPr>
            <w:r>
              <w:rPr>
                <w:rFonts w:ascii="Times New Roman" w:hAnsi="Times New Roman" w:eastAsia="Times New Roman"/>
                <w:b/>
                <w:bCs/>
                <w:sz w:val="24"/>
                <w:szCs w:val="24"/>
                <w:lang w:eastAsia="hr-HR"/>
              </w:rPr>
              <w:t>dostavom objavljenih obrazaca za prijavu</w:t>
            </w:r>
            <w:r>
              <w:rPr>
                <w:rFonts w:ascii="Times New Roman" w:hAnsi="Times New Roman" w:eastAsia="Times New Roman"/>
                <w:bCs/>
                <w:sz w:val="24"/>
                <w:szCs w:val="24"/>
                <w:lang w:eastAsia="hr-HR"/>
              </w:rPr>
              <w:t xml:space="preserve">, popunjenih, potpisanih i ovjerenih pečatom od strane ovlaštene osobe podnositelja zahtjeva u papirnatom obliku s traženim prilozima </w:t>
            </w:r>
            <w:r>
              <w:rPr>
                <w:rFonts w:ascii="Times New Roman" w:hAnsi="Times New Roman" w:eastAsia="Times New Roman"/>
                <w:b/>
                <w:bCs/>
                <w:sz w:val="24"/>
                <w:szCs w:val="24"/>
                <w:lang w:eastAsia="hr-HR"/>
              </w:rPr>
              <w:t>u zatvorenoj omotnici poštom ili osobnom dostavom</w:t>
            </w:r>
            <w:r>
              <w:rPr>
                <w:rFonts w:ascii="Times New Roman" w:hAnsi="Times New Roman" w:eastAsia="Times New Roman"/>
                <w:bCs/>
                <w:sz w:val="24"/>
                <w:szCs w:val="24"/>
                <w:lang w:eastAsia="hr-HR"/>
              </w:rPr>
              <w:t xml:space="preserve"> na adresu: Sisačko-moslavačka županija, Upravni odjela za poljoprivredu, ruralni razvoj, zaštitu okoliša i prirode, Zagrebačka ulica 44,   44 000 Sisak, s naznakom </w:t>
            </w:r>
            <w:r>
              <w:rPr>
                <w:rFonts w:ascii="Times New Roman" w:hAnsi="Times New Roman" w:eastAsia="Times New Roman"/>
                <w:b/>
                <w:bCs/>
                <w:sz w:val="24"/>
                <w:szCs w:val="24"/>
                <w:lang w:eastAsia="hr-HR"/>
              </w:rPr>
              <w:t xml:space="preserve">„Javni poziv za sufinanciranje razvoja lovstva na području Sisačko-moslavačke županije za 2025. godinu – NE OTVARAJ“ </w:t>
            </w:r>
          </w:p>
          <w:p w14:paraId="3025E976">
            <w:pPr>
              <w:pStyle w:val="39"/>
              <w:spacing w:after="0" w:line="240" w:lineRule="auto"/>
              <w:ind w:left="709"/>
              <w:contextualSpacing/>
              <w:jc w:val="both"/>
              <w:rPr>
                <w:rFonts w:ascii="Times New Roman" w:hAnsi="Times New Roman" w:eastAsia="Times New Roman"/>
                <w:b/>
                <w:bCs/>
                <w:sz w:val="24"/>
                <w:szCs w:val="24"/>
                <w:lang w:eastAsia="hr-HR"/>
              </w:rPr>
            </w:pPr>
          </w:p>
          <w:p w14:paraId="397A20F8">
            <w:pPr>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ili elektroničkim putem:</w:t>
            </w:r>
          </w:p>
          <w:p w14:paraId="1D4FA06A">
            <w:pPr>
              <w:pStyle w:val="39"/>
              <w:numPr>
                <w:ilvl w:val="0"/>
                <w:numId w:val="7"/>
              </w:numPr>
              <w:spacing w:after="0" w:line="240" w:lineRule="auto"/>
              <w:ind w:left="601" w:hanging="425"/>
              <w:contextualSpacing/>
              <w:jc w:val="both"/>
              <w:rPr>
                <w:rFonts w:ascii="Times New Roman" w:hAnsi="Times New Roman" w:eastAsia="Times New Roman"/>
                <w:bCs/>
                <w:sz w:val="24"/>
                <w:szCs w:val="24"/>
                <w:lang w:eastAsia="hr-HR"/>
              </w:rPr>
            </w:pPr>
            <w:r>
              <w:rPr>
                <w:rFonts w:ascii="Times New Roman" w:hAnsi="Times New Roman" w:eastAsia="Times New Roman"/>
                <w:b/>
                <w:bCs/>
                <w:sz w:val="24"/>
                <w:szCs w:val="24"/>
                <w:lang w:eastAsia="hr-HR"/>
              </w:rPr>
              <w:t>dostavom objavljenih obrazaca za prijavu</w:t>
            </w:r>
            <w:r>
              <w:rPr>
                <w:rFonts w:ascii="Times New Roman" w:hAnsi="Times New Roman" w:eastAsia="Times New Roman"/>
                <w:bCs/>
                <w:sz w:val="24"/>
                <w:szCs w:val="24"/>
                <w:lang w:eastAsia="hr-HR"/>
              </w:rPr>
              <w:t xml:space="preserve">, popunjenih, potpisanih i ovjerenih pečatom od strane ovlaštene osobe podnositelja zahtjeva, skeniranih s traženim prilozima putem elektronske pošte </w:t>
            </w:r>
            <w:r>
              <w:fldChar w:fldCharType="begin"/>
            </w:r>
            <w:r>
              <w:instrText xml:space="preserve"> HYPERLINK "mailto:lovstvo@smz.hr" </w:instrText>
            </w:r>
            <w:r>
              <w:fldChar w:fldCharType="separate"/>
            </w:r>
            <w:r>
              <w:rPr>
                <w:rStyle w:val="19"/>
                <w:rFonts w:ascii="Times New Roman" w:hAnsi="Times New Roman" w:eastAsia="Times New Roman"/>
                <w:bCs/>
                <w:sz w:val="24"/>
                <w:szCs w:val="24"/>
                <w:lang w:eastAsia="hr-HR"/>
              </w:rPr>
              <w:t>lovstvo@smz.hr</w:t>
            </w:r>
            <w:r>
              <w:rPr>
                <w:rStyle w:val="19"/>
                <w:rFonts w:ascii="Times New Roman" w:hAnsi="Times New Roman" w:eastAsia="Times New Roman"/>
                <w:bCs/>
                <w:sz w:val="24"/>
                <w:szCs w:val="24"/>
                <w:lang w:eastAsia="hr-HR"/>
              </w:rPr>
              <w:fldChar w:fldCharType="end"/>
            </w:r>
            <w:r>
              <w:rPr>
                <w:rFonts w:ascii="Times New Roman" w:hAnsi="Times New Roman" w:eastAsia="Times New Roman"/>
                <w:bCs/>
                <w:sz w:val="24"/>
                <w:szCs w:val="24"/>
                <w:lang w:eastAsia="hr-HR"/>
              </w:rPr>
              <w:t xml:space="preserve"> </w:t>
            </w:r>
          </w:p>
          <w:p w14:paraId="12C9BF94">
            <w:pPr>
              <w:pStyle w:val="39"/>
              <w:spacing w:after="0" w:line="240" w:lineRule="auto"/>
              <w:ind w:left="709"/>
              <w:contextualSpacing/>
              <w:jc w:val="both"/>
              <w:rPr>
                <w:rFonts w:ascii="Times New Roman" w:hAnsi="Times New Roman" w:eastAsia="Times New Roman"/>
                <w:bCs/>
                <w:sz w:val="24"/>
                <w:szCs w:val="24"/>
                <w:lang w:eastAsia="hr-HR"/>
              </w:rPr>
            </w:pPr>
          </w:p>
          <w:p w14:paraId="60C745AA">
            <w:pPr>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Navedeni obrasci će prijaviteljima biti dostupni na službenim mrežnim stranicama Županije </w:t>
            </w:r>
            <w:r>
              <w:fldChar w:fldCharType="begin"/>
            </w:r>
            <w:r>
              <w:instrText xml:space="preserve"> HYPERLINK "http://www.smz.hr" </w:instrText>
            </w:r>
            <w:r>
              <w:fldChar w:fldCharType="separate"/>
            </w:r>
            <w:r>
              <w:rPr>
                <w:rStyle w:val="19"/>
                <w:rFonts w:ascii="Times New Roman" w:hAnsi="Times New Roman" w:eastAsia="Times New Roman"/>
                <w:sz w:val="24"/>
                <w:szCs w:val="24"/>
                <w:lang w:eastAsia="hr-HR"/>
              </w:rPr>
              <w:t>www.smz.hr</w:t>
            </w:r>
            <w:r>
              <w:rPr>
                <w:rStyle w:val="19"/>
                <w:rFonts w:ascii="Times New Roman" w:hAnsi="Times New Roman" w:eastAsia="Times New Roman"/>
                <w:sz w:val="24"/>
                <w:szCs w:val="24"/>
                <w:lang w:eastAsia="hr-HR"/>
              </w:rPr>
              <w:fldChar w:fldCharType="end"/>
            </w:r>
            <w:r>
              <w:rPr>
                <w:rFonts w:ascii="Times New Roman" w:hAnsi="Times New Roman" w:eastAsia="Times New Roman"/>
                <w:bCs/>
                <w:sz w:val="24"/>
                <w:szCs w:val="24"/>
                <w:lang w:eastAsia="hr-HR"/>
              </w:rPr>
              <w:t xml:space="preserve"> u prilogu Javnog poziva i u Upravnom odjelu za poljoprivredu, ruralni razvoj, zaštitu okoliša i prirode, Odsjeku za ruralni razvoj i turizam.</w:t>
            </w:r>
          </w:p>
        </w:tc>
        <w:tc>
          <w:tcPr>
            <w:tcW w:w="1516" w:type="pct"/>
            <w:shd w:val="clear" w:color="auto" w:fill="auto"/>
          </w:tcPr>
          <w:p w14:paraId="57C86DBD">
            <w:pPr>
              <w:spacing w:after="0" w:line="240" w:lineRule="auto"/>
              <w:ind w:left="463" w:right="-567" w:hanging="142"/>
              <w:jc w:val="both"/>
              <w:rPr>
                <w:rFonts w:ascii="Times New Roman" w:hAnsi="Times New Roman" w:eastAsia="Times New Roman"/>
                <w:sz w:val="24"/>
                <w:szCs w:val="24"/>
                <w:lang w:eastAsia="hr-HR"/>
              </w:rPr>
            </w:pPr>
          </w:p>
        </w:tc>
      </w:tr>
    </w:tbl>
    <w:p w14:paraId="4D25F4AA">
      <w:pPr>
        <w:pStyle w:val="38"/>
        <w:jc w:val="both"/>
        <w:rPr>
          <w:rFonts w:ascii="Times New Roman" w:hAnsi="Times New Roman"/>
          <w:b/>
          <w:bCs/>
          <w:i/>
          <w:iCs/>
          <w:sz w:val="24"/>
          <w:szCs w:val="24"/>
          <w:u w:val="single"/>
        </w:rPr>
      </w:pPr>
    </w:p>
    <w:p w14:paraId="4427F353">
      <w:pPr>
        <w:pStyle w:val="38"/>
        <w:jc w:val="both"/>
        <w:rPr>
          <w:rFonts w:ascii="Times New Roman" w:hAnsi="Times New Roman"/>
          <w:b/>
          <w:bCs/>
          <w:i/>
          <w:iCs/>
          <w:sz w:val="24"/>
          <w:szCs w:val="24"/>
          <w:u w:val="single"/>
        </w:rPr>
      </w:pPr>
      <w:r>
        <w:rPr>
          <w:rFonts w:ascii="Times New Roman" w:hAnsi="Times New Roman"/>
          <w:b/>
          <w:bCs/>
          <w:i/>
          <w:iCs/>
          <w:sz w:val="24"/>
          <w:szCs w:val="24"/>
          <w:u w:val="single"/>
        </w:rPr>
        <w:t>Oni prijavitelji koji se javljaju na više mjera i/ili aktivnosti po ovom Javnom pozivu ne prilažu istovjetnu dokumentaciju uz prijavu za svaku pojedinu potporu, već samo uz jednu prijavu, a u ostalima navode uz koju je prijavu dokumentacija predana. Prijave i dokumentacija za više mjera i/ili aktivnosti mogu se predati u istoj omotnici, ali ne smiju biti zajedno zaklamani ili uvezani.</w:t>
      </w:r>
    </w:p>
    <w:p w14:paraId="4BAEA1A0">
      <w:pPr>
        <w:pStyle w:val="38"/>
        <w:jc w:val="both"/>
        <w:rPr>
          <w:rFonts w:ascii="Times New Roman" w:hAnsi="Times New Roman" w:eastAsia="Times New Roman"/>
          <w:sz w:val="24"/>
          <w:szCs w:val="24"/>
          <w:lang w:eastAsia="hr-HR"/>
        </w:rPr>
      </w:pPr>
    </w:p>
    <w:p w14:paraId="057B553D">
      <w:pPr>
        <w:pStyle w:val="38"/>
        <w:jc w:val="both"/>
        <w:rPr>
          <w:rFonts w:ascii="Times New Roman" w:hAnsi="Times New Roman" w:eastAsia="Times New Roman"/>
          <w:sz w:val="24"/>
          <w:szCs w:val="24"/>
          <w:lang w:eastAsia="hr-HR"/>
        </w:rPr>
      </w:pPr>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28" w:type="dxa"/>
          <w:left w:w="113" w:type="dxa"/>
          <w:bottom w:w="28" w:type="dxa"/>
          <w:right w:w="0" w:type="dxa"/>
        </w:tblCellMar>
      </w:tblPr>
      <w:tblGrid>
        <w:gridCol w:w="9899"/>
      </w:tblGrid>
      <w:tr w14:paraId="5469A3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28" w:type="dxa"/>
            <w:left w:w="113" w:type="dxa"/>
            <w:bottom w:w="28" w:type="dxa"/>
            <w:right w:w="0" w:type="dxa"/>
          </w:tblCellMar>
        </w:tblPrEx>
        <w:trPr>
          <w:trHeight w:val="457" w:hRule="exact"/>
        </w:trPr>
        <w:tc>
          <w:tcPr>
            <w:tcW w:w="5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6781BE07">
            <w:pPr>
              <w:widowControl w:val="0"/>
              <w:suppressLineNumbers/>
              <w:shd w:val="clear" w:color="auto" w:fill="E7E6E6" w:themeFill="background2"/>
              <w:snapToGrid w:val="0"/>
              <w:rPr>
                <w:rFonts w:ascii="Times New Roman" w:hAnsi="Times New Roman"/>
                <w:b/>
                <w:bCs/>
                <w:sz w:val="24"/>
                <w:szCs w:val="24"/>
              </w:rPr>
            </w:pPr>
            <w:r>
              <w:rPr>
                <w:rFonts w:ascii="Times New Roman" w:hAnsi="Times New Roman"/>
                <w:b/>
                <w:bCs/>
                <w:sz w:val="24"/>
                <w:szCs w:val="24"/>
              </w:rPr>
              <w:t>Rok za dostavu prijave</w:t>
            </w:r>
          </w:p>
          <w:p w14:paraId="77640D92">
            <w:pPr>
              <w:widowControl w:val="0"/>
              <w:suppressLineNumbers/>
              <w:snapToGrid w:val="0"/>
              <w:rPr>
                <w:rFonts w:ascii="Times New Roman" w:hAnsi="Times New Roman"/>
                <w:b/>
                <w:bCs/>
                <w:sz w:val="24"/>
                <w:szCs w:val="24"/>
              </w:rPr>
            </w:pPr>
            <w:r>
              <w:rPr>
                <w:rFonts w:ascii="Times New Roman" w:hAnsi="Times New Roman"/>
                <w:b/>
                <w:bCs/>
                <w:sz w:val="24"/>
                <w:szCs w:val="24"/>
              </w:rPr>
              <w:t>I. OSNOVNI PODACI O PODNOSITELJU PRIJAVE PROGRAMA</w:t>
            </w:r>
          </w:p>
        </w:tc>
      </w:tr>
    </w:tbl>
    <w:p w14:paraId="73C4BD74">
      <w:pPr>
        <w:spacing w:after="0" w:line="240" w:lineRule="auto"/>
        <w:jc w:val="both"/>
        <w:rPr>
          <w:rFonts w:ascii="Times New Roman" w:hAnsi="Times New Roman"/>
          <w:b/>
          <w:bCs/>
          <w:sz w:val="24"/>
          <w:szCs w:val="24"/>
        </w:rPr>
      </w:pPr>
    </w:p>
    <w:p w14:paraId="5DA51335">
      <w:pPr>
        <w:spacing w:after="0" w:line="240" w:lineRule="auto"/>
        <w:jc w:val="both"/>
        <w:rPr>
          <w:rFonts w:ascii="Times New Roman" w:hAnsi="Times New Roman"/>
          <w:b/>
          <w:bCs/>
          <w:sz w:val="24"/>
          <w:szCs w:val="24"/>
        </w:rPr>
      </w:pPr>
      <w:r>
        <w:rPr>
          <w:rFonts w:ascii="Times New Roman" w:hAnsi="Times New Roman"/>
          <w:b/>
          <w:bCs/>
          <w:sz w:val="24"/>
          <w:szCs w:val="24"/>
        </w:rPr>
        <w:t>Javni poziv otvoren je od 1. kolovoza - 30. rujna 2025. godine.</w:t>
      </w:r>
      <w:r>
        <w:rPr>
          <w:rFonts w:ascii="Times New Roman" w:hAnsi="Times New Roman"/>
          <w:b/>
          <w:bCs/>
          <w:sz w:val="24"/>
          <w:szCs w:val="24"/>
        </w:rPr>
        <w:tab/>
      </w:r>
    </w:p>
    <w:p w14:paraId="20DED310">
      <w:pPr>
        <w:spacing w:after="0" w:line="240" w:lineRule="auto"/>
        <w:jc w:val="both"/>
        <w:rPr>
          <w:rFonts w:ascii="Times New Roman" w:hAnsi="Times New Roman"/>
          <w:sz w:val="24"/>
          <w:szCs w:val="24"/>
        </w:rPr>
      </w:pPr>
      <w:r>
        <w:rPr>
          <w:rFonts w:ascii="Times New Roman" w:hAnsi="Times New Roman"/>
          <w:sz w:val="24"/>
          <w:szCs w:val="24"/>
        </w:rPr>
        <w:t xml:space="preserve">Prijave poslane izvan roka neće biti razmatrane. </w:t>
      </w:r>
    </w:p>
    <w:p w14:paraId="1F53DB7D">
      <w:pPr>
        <w:spacing w:after="0" w:line="240" w:lineRule="auto"/>
        <w:jc w:val="both"/>
        <w:rPr>
          <w:rFonts w:ascii="Times New Roman" w:hAnsi="Times New Roman"/>
          <w:bCs/>
          <w:sz w:val="24"/>
          <w:szCs w:val="24"/>
        </w:rPr>
      </w:pPr>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28" w:type="dxa"/>
          <w:left w:w="113" w:type="dxa"/>
          <w:bottom w:w="28" w:type="dxa"/>
          <w:right w:w="0" w:type="dxa"/>
        </w:tblCellMar>
      </w:tblPr>
      <w:tblGrid>
        <w:gridCol w:w="9899"/>
      </w:tblGrid>
      <w:tr w14:paraId="0A9B4F4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28" w:type="dxa"/>
            <w:left w:w="113" w:type="dxa"/>
            <w:bottom w:w="28" w:type="dxa"/>
            <w:right w:w="0" w:type="dxa"/>
          </w:tblCellMar>
        </w:tblPrEx>
        <w:trPr>
          <w:trHeight w:val="393" w:hRule="exact"/>
        </w:trPr>
        <w:tc>
          <w:tcPr>
            <w:tcW w:w="5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6F18199B">
            <w:pPr>
              <w:widowControl w:val="0"/>
              <w:suppressLineNumbers/>
              <w:snapToGrid w:val="0"/>
              <w:rPr>
                <w:rFonts w:ascii="Times New Roman" w:hAnsi="Times New Roman"/>
                <w:b/>
                <w:bCs/>
                <w:sz w:val="24"/>
                <w:szCs w:val="24"/>
              </w:rPr>
            </w:pPr>
            <w:r>
              <w:rPr>
                <w:rFonts w:ascii="Times New Roman" w:hAnsi="Times New Roman"/>
                <w:b/>
                <w:bCs/>
                <w:sz w:val="24"/>
                <w:szCs w:val="24"/>
              </w:rPr>
              <w:t>Sadržaj obrasca prijave</w:t>
            </w:r>
          </w:p>
        </w:tc>
      </w:tr>
    </w:tbl>
    <w:p w14:paraId="033D86A7">
      <w:pPr>
        <w:pStyle w:val="38"/>
        <w:jc w:val="both"/>
        <w:rPr>
          <w:rFonts w:ascii="Times New Roman" w:hAnsi="Times New Roman"/>
          <w:sz w:val="24"/>
          <w:szCs w:val="24"/>
        </w:rPr>
      </w:pPr>
    </w:p>
    <w:p w14:paraId="6A63740E">
      <w:pPr>
        <w:pStyle w:val="38"/>
        <w:jc w:val="both"/>
        <w:rPr>
          <w:rFonts w:ascii="Times New Roman" w:hAnsi="Times New Roman"/>
          <w:sz w:val="24"/>
          <w:szCs w:val="24"/>
        </w:rPr>
      </w:pPr>
      <w:r>
        <w:rPr>
          <w:rFonts w:ascii="Times New Roman" w:hAnsi="Times New Roman"/>
          <w:sz w:val="24"/>
          <w:szCs w:val="24"/>
        </w:rPr>
        <w:t xml:space="preserve">Uz obrazac prijave (Obrazac 1 i/ili 2) koji obvezno mora biti potpisan i ovjeren od strane odgovorne osobe, potrebno je priložiti vjerodostojnu dokumentaciju i dokaze za svaki od traženih kriterija kako je navedeno po pojedinim korisnicima. </w:t>
      </w:r>
    </w:p>
    <w:p w14:paraId="0468308F">
      <w:pPr>
        <w:spacing w:after="0" w:line="240" w:lineRule="auto"/>
        <w:rPr>
          <w:rFonts w:ascii="Times New Roman" w:hAnsi="Times New Roman"/>
          <w:sz w:val="24"/>
          <w:szCs w:val="24"/>
        </w:rPr>
      </w:pPr>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28" w:type="dxa"/>
          <w:left w:w="113" w:type="dxa"/>
          <w:bottom w:w="28" w:type="dxa"/>
          <w:right w:w="0" w:type="dxa"/>
        </w:tblCellMar>
      </w:tblPr>
      <w:tblGrid>
        <w:gridCol w:w="9899"/>
      </w:tblGrid>
      <w:tr w14:paraId="65D9F8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28" w:type="dxa"/>
            <w:left w:w="113" w:type="dxa"/>
            <w:bottom w:w="28" w:type="dxa"/>
            <w:right w:w="0" w:type="dxa"/>
          </w:tblCellMar>
        </w:tblPrEx>
        <w:trPr>
          <w:trHeight w:val="420" w:hRule="exact"/>
        </w:trPr>
        <w:tc>
          <w:tcPr>
            <w:tcW w:w="5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2C1B7E8B">
            <w:pPr>
              <w:widowControl w:val="0"/>
              <w:suppressLineNumbers/>
              <w:shd w:val="clear" w:color="auto" w:fill="E7E6E6" w:themeFill="background2"/>
              <w:snapToGrid w:val="0"/>
              <w:rPr>
                <w:rFonts w:ascii="Times New Roman" w:hAnsi="Times New Roman"/>
                <w:b/>
                <w:bCs/>
                <w:sz w:val="24"/>
                <w:szCs w:val="24"/>
              </w:rPr>
            </w:pPr>
            <w:r>
              <w:rPr>
                <w:rFonts w:ascii="Times New Roman" w:hAnsi="Times New Roman"/>
                <w:b/>
                <w:bCs/>
                <w:sz w:val="24"/>
                <w:szCs w:val="24"/>
              </w:rPr>
              <w:t>Prilozi obrascu prijave</w:t>
            </w:r>
          </w:p>
          <w:p w14:paraId="35D274DC">
            <w:pPr>
              <w:widowControl w:val="0"/>
              <w:suppressLineNumbers/>
              <w:snapToGrid w:val="0"/>
              <w:rPr>
                <w:rFonts w:ascii="Times New Roman" w:hAnsi="Times New Roman"/>
                <w:b/>
                <w:bCs/>
                <w:color w:val="FF0000"/>
                <w:sz w:val="24"/>
                <w:szCs w:val="24"/>
              </w:rPr>
            </w:pPr>
            <w:r>
              <w:rPr>
                <w:rFonts w:ascii="Times New Roman" w:hAnsi="Times New Roman"/>
                <w:b/>
                <w:bCs/>
                <w:color w:val="FF0000"/>
                <w:sz w:val="24"/>
                <w:szCs w:val="24"/>
              </w:rPr>
              <w:t>I. OSNOVNI PODACI O PODNOSITELJU PRIJAVE PROGRAMA</w:t>
            </w:r>
          </w:p>
        </w:tc>
      </w:tr>
    </w:tbl>
    <w:p w14:paraId="5C630840">
      <w:pPr>
        <w:widowControl w:val="0"/>
        <w:autoSpaceDE w:val="0"/>
        <w:autoSpaceDN w:val="0"/>
        <w:adjustRightInd w:val="0"/>
        <w:jc w:val="both"/>
        <w:rPr>
          <w:rFonts w:hint="default" w:ascii="Times New Roman" w:hAnsi="Times New Roman" w:eastAsia="Times New Roman"/>
          <w:sz w:val="24"/>
          <w:szCs w:val="24"/>
          <w:lang w:val="en-US" w:eastAsia="hr-HR"/>
        </w:rPr>
      </w:pPr>
    </w:p>
    <w:p w14:paraId="760C47A1">
      <w:pPr>
        <w:widowControl w:val="0"/>
        <w:autoSpaceDE w:val="0"/>
        <w:autoSpaceDN w:val="0"/>
        <w:adjustRightInd w:val="0"/>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Prilozi Obrascu prijave: Izjava o postojanju organizacijskim kapaciteta (Obrazac 3) i Izjava o nepostojanju dvostrukog financiranja (Obrazac 4), te slijedeći dokazi: </w:t>
      </w:r>
    </w:p>
    <w:tbl>
      <w:tblPr>
        <w:tblStyle w:val="13"/>
        <w:tblW w:w="1006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121"/>
        <w:gridCol w:w="5377"/>
      </w:tblGrid>
      <w:tr w14:paraId="21E3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0065" w:type="dxa"/>
            <w:gridSpan w:val="3"/>
            <w:shd w:val="clear" w:color="auto" w:fill="auto"/>
            <w:vAlign w:val="center"/>
          </w:tcPr>
          <w:p w14:paraId="5024E2B3">
            <w:pPr>
              <w:spacing w:after="0" w:line="240" w:lineRule="auto"/>
              <w:jc w:val="center"/>
              <w:rPr>
                <w:rFonts w:ascii="Times New Roman" w:hAnsi="Times New Roman"/>
                <w:b/>
                <w:sz w:val="24"/>
                <w:szCs w:val="24"/>
              </w:rPr>
            </w:pPr>
            <w:bookmarkStart w:id="18" w:name="_Hlk516647281"/>
          </w:p>
          <w:p w14:paraId="3219C691">
            <w:pPr>
              <w:spacing w:after="0" w:line="240" w:lineRule="auto"/>
              <w:jc w:val="center"/>
              <w:rPr>
                <w:rFonts w:ascii="Times New Roman" w:hAnsi="Times New Roman"/>
                <w:b/>
                <w:sz w:val="24"/>
                <w:szCs w:val="24"/>
                <w:lang w:eastAsia="hr-HR"/>
              </w:rPr>
            </w:pPr>
            <w:r>
              <w:rPr>
                <w:rFonts w:ascii="Times New Roman" w:hAnsi="Times New Roman"/>
                <w:b/>
                <w:sz w:val="24"/>
                <w:szCs w:val="24"/>
              </w:rPr>
              <w:t>UDRUGE/USTANOVE</w:t>
            </w:r>
          </w:p>
        </w:tc>
      </w:tr>
      <w:bookmarkEnd w:id="18"/>
      <w:tr w14:paraId="148F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67" w:type="dxa"/>
            <w:shd w:val="clear" w:color="auto" w:fill="auto"/>
            <w:textDirection w:val="btLr"/>
            <w:vAlign w:val="center"/>
          </w:tcPr>
          <w:p w14:paraId="306BEF9E">
            <w:pPr>
              <w:spacing w:after="0" w:line="240" w:lineRule="auto"/>
              <w:rPr>
                <w:rFonts w:ascii="Times New Roman" w:hAnsi="Times New Roman" w:eastAsia="Times New Roman"/>
                <w:b/>
                <w:sz w:val="24"/>
                <w:szCs w:val="24"/>
                <w:lang w:eastAsia="hr-HR"/>
              </w:rPr>
            </w:pPr>
            <w:r>
              <w:rPr>
                <w:rFonts w:ascii="Times New Roman" w:hAnsi="Times New Roman" w:eastAsia="Times New Roman"/>
                <w:sz w:val="24"/>
                <w:szCs w:val="24"/>
                <w:lang w:eastAsia="hr-HR"/>
              </w:rPr>
              <w:t xml:space="preserve"> </w:t>
            </w:r>
          </w:p>
        </w:tc>
        <w:tc>
          <w:tcPr>
            <w:tcW w:w="4121" w:type="dxa"/>
            <w:shd w:val="clear" w:color="auto" w:fill="auto"/>
            <w:vAlign w:val="center"/>
          </w:tcPr>
          <w:p w14:paraId="37D44D20">
            <w:pPr>
              <w:spacing w:after="0" w:line="240" w:lineRule="auto"/>
              <w:jc w:val="center"/>
              <w:rPr>
                <w:rFonts w:ascii="Times New Roman" w:hAnsi="Times New Roman" w:eastAsia="Times New Roman"/>
                <w:sz w:val="24"/>
                <w:szCs w:val="24"/>
                <w:lang w:eastAsia="hr-HR"/>
              </w:rPr>
            </w:pPr>
            <w:r>
              <w:rPr>
                <w:rFonts w:ascii="Times New Roman" w:hAnsi="Times New Roman" w:eastAsia="Times New Roman"/>
                <w:b/>
                <w:sz w:val="24"/>
                <w:szCs w:val="24"/>
                <w:lang w:eastAsia="hr-HR"/>
              </w:rPr>
              <w:t>U V J E T I</w:t>
            </w:r>
          </w:p>
        </w:tc>
        <w:tc>
          <w:tcPr>
            <w:tcW w:w="5377" w:type="dxa"/>
            <w:shd w:val="clear" w:color="auto" w:fill="auto"/>
            <w:vAlign w:val="center"/>
          </w:tcPr>
          <w:p w14:paraId="669F9E76">
            <w:pPr>
              <w:spacing w:after="0" w:line="240" w:lineRule="auto"/>
              <w:jc w:val="center"/>
              <w:rPr>
                <w:rFonts w:ascii="Times New Roman" w:hAnsi="Times New Roman" w:eastAsia="Times New Roman"/>
                <w:sz w:val="24"/>
                <w:szCs w:val="24"/>
                <w:lang w:eastAsia="hr-HR"/>
              </w:rPr>
            </w:pPr>
            <w:r>
              <w:rPr>
                <w:rFonts w:ascii="Times New Roman" w:hAnsi="Times New Roman" w:eastAsia="Times New Roman"/>
                <w:b/>
                <w:sz w:val="24"/>
                <w:szCs w:val="24"/>
                <w:lang w:eastAsia="hr-HR"/>
              </w:rPr>
              <w:t>D O K A Z I</w:t>
            </w:r>
          </w:p>
        </w:tc>
      </w:tr>
      <w:tr w14:paraId="09FD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67" w:type="dxa"/>
            <w:vAlign w:val="center"/>
          </w:tcPr>
          <w:p w14:paraId="4EEED34F">
            <w:pPr>
              <w:spacing w:after="0" w:line="240" w:lineRule="auto"/>
              <w:rPr>
                <w:rFonts w:ascii="Times New Roman" w:hAnsi="Times New Roman" w:eastAsia="Times New Roman"/>
                <w:b/>
                <w:sz w:val="24"/>
                <w:szCs w:val="24"/>
                <w:lang w:eastAsia="hr-HR"/>
              </w:rPr>
            </w:pPr>
            <w:r>
              <w:rPr>
                <w:rFonts w:ascii="Times New Roman" w:hAnsi="Times New Roman" w:eastAsia="Times New Roman"/>
                <w:sz w:val="24"/>
                <w:szCs w:val="24"/>
                <w:lang w:eastAsia="hr-HR"/>
              </w:rPr>
              <w:t>1.</w:t>
            </w:r>
          </w:p>
        </w:tc>
        <w:tc>
          <w:tcPr>
            <w:tcW w:w="4121" w:type="dxa"/>
            <w:shd w:val="clear" w:color="000000" w:fill="FFFFFF"/>
            <w:vAlign w:val="center"/>
          </w:tcPr>
          <w:p w14:paraId="3B2D4BED">
            <w:pPr>
              <w:spacing w:after="0" w:line="240" w:lineRule="auto"/>
              <w:rPr>
                <w:rFonts w:ascii="Times New Roman" w:hAnsi="Times New Roman" w:eastAsia="Times New Roman"/>
                <w:color w:val="FF0000"/>
                <w:sz w:val="24"/>
                <w:szCs w:val="24"/>
                <w:lang w:eastAsia="hr-HR"/>
              </w:rPr>
            </w:pPr>
            <w:r>
              <w:rPr>
                <w:rFonts w:ascii="Times New Roman" w:hAnsi="Times New Roman" w:eastAsia="Times New Roman"/>
                <w:sz w:val="24"/>
                <w:szCs w:val="24"/>
                <w:lang w:eastAsia="hr-HR"/>
              </w:rPr>
              <w:t>Upis u registar neprofitnih organizacija ili drugi odgovarajući registar</w:t>
            </w:r>
          </w:p>
        </w:tc>
        <w:tc>
          <w:tcPr>
            <w:tcW w:w="5377" w:type="dxa"/>
            <w:shd w:val="clear" w:color="000000" w:fill="FFFFFF"/>
            <w:vAlign w:val="center"/>
          </w:tcPr>
          <w:p w14:paraId="53C68ED9">
            <w:pPr>
              <w:spacing w:after="0" w:line="240" w:lineRule="auto"/>
              <w:rPr>
                <w:rFonts w:ascii="Times New Roman" w:hAnsi="Times New Roman" w:eastAsia="Times New Roman"/>
                <w:sz w:val="24"/>
                <w:szCs w:val="24"/>
                <w:lang w:eastAsia="hr-HR"/>
              </w:rPr>
            </w:pPr>
          </w:p>
          <w:p w14:paraId="03630D2D">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Izvadak (ili e-ispis) iz Registra neprofitnih organizacija (RNO) - za udruge i druge neprofitne organizacije, ne stariji od trideset (30) dana do objave Javnog poziva/Izvadak (ili e-ispis) iz Sudskog registra - za ustanove, ne stariji od trideset (30) dana do dana objave Javnog poziva</w:t>
            </w:r>
          </w:p>
          <w:p w14:paraId="4B6CEEB5">
            <w:pPr>
              <w:spacing w:after="0" w:line="240" w:lineRule="auto"/>
              <w:rPr>
                <w:rFonts w:ascii="Times New Roman" w:hAnsi="Times New Roman" w:eastAsia="Times New Roman"/>
                <w:sz w:val="24"/>
                <w:szCs w:val="24"/>
                <w:lang w:eastAsia="hr-HR"/>
              </w:rPr>
            </w:pPr>
          </w:p>
        </w:tc>
      </w:tr>
      <w:tr w14:paraId="4C26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67" w:type="dxa"/>
            <w:vAlign w:val="center"/>
          </w:tcPr>
          <w:p w14:paraId="516EE62B">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2.</w:t>
            </w:r>
          </w:p>
        </w:tc>
        <w:tc>
          <w:tcPr>
            <w:tcW w:w="4121" w:type="dxa"/>
            <w:shd w:val="clear" w:color="000000" w:fill="FFFFFF"/>
            <w:vAlign w:val="center"/>
          </w:tcPr>
          <w:p w14:paraId="2680D544">
            <w:pPr>
              <w:spacing w:after="0" w:line="240" w:lineRule="auto"/>
              <w:rPr>
                <w:rFonts w:ascii="Times New Roman" w:hAnsi="Times New Roman" w:eastAsia="Times New Roman"/>
                <w:sz w:val="24"/>
                <w:szCs w:val="24"/>
                <w:vertAlign w:val="superscript"/>
                <w:lang w:eastAsia="hr-HR"/>
              </w:rPr>
            </w:pPr>
            <w:r>
              <w:rPr>
                <w:rFonts w:ascii="Times New Roman" w:hAnsi="Times New Roman" w:eastAsia="Times New Roman"/>
                <w:sz w:val="24"/>
                <w:szCs w:val="24"/>
                <w:lang w:eastAsia="hr-HR"/>
              </w:rPr>
              <w:t xml:space="preserve">Protiv </w:t>
            </w:r>
            <w:r>
              <w:rPr>
                <w:rFonts w:ascii="Times New Roman" w:hAnsi="Times New Roman" w:eastAsia="Times New Roman"/>
                <w:b/>
                <w:bCs/>
                <w:sz w:val="24"/>
                <w:szCs w:val="24"/>
                <w:lang w:eastAsia="hr-HR"/>
              </w:rPr>
              <w:t>prijavitelja</w:t>
            </w:r>
            <w:r>
              <w:rPr>
                <w:rFonts w:ascii="Times New Roman" w:hAnsi="Times New Roman" w:eastAsia="Times New Roman"/>
                <w:sz w:val="24"/>
                <w:szCs w:val="24"/>
                <w:lang w:eastAsia="hr-HR"/>
              </w:rPr>
              <w:t xml:space="preserve"> (udruge/ustanove) se ne vodi kazneni postupak</w:t>
            </w:r>
          </w:p>
        </w:tc>
        <w:tc>
          <w:tcPr>
            <w:tcW w:w="5377" w:type="dxa"/>
            <w:shd w:val="clear" w:color="000000" w:fill="FFFFFF"/>
            <w:vAlign w:val="center"/>
          </w:tcPr>
          <w:p w14:paraId="37825CC8">
            <w:pPr>
              <w:spacing w:after="0" w:line="240" w:lineRule="auto"/>
              <w:rPr>
                <w:rFonts w:ascii="Times New Roman" w:hAnsi="Times New Roman" w:eastAsia="Times New Roman"/>
                <w:sz w:val="24"/>
                <w:szCs w:val="24"/>
                <w:lang w:eastAsia="hr-HR"/>
              </w:rPr>
            </w:pPr>
          </w:p>
          <w:p w14:paraId="1F2E3EA6">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Uvjerenje nadležnog suda da se protiv prijavitelja (udruge/ustanove)  ne vodi kazneni postupak, ne starije od šest (6) mjeseci do dana objave Javnog poziva </w:t>
            </w:r>
          </w:p>
          <w:p w14:paraId="6F99D2BA">
            <w:pPr>
              <w:spacing w:after="0" w:line="240" w:lineRule="auto"/>
              <w:rPr>
                <w:rFonts w:ascii="Times New Roman" w:hAnsi="Times New Roman" w:eastAsia="Times New Roman"/>
                <w:sz w:val="24"/>
                <w:szCs w:val="24"/>
                <w:lang w:eastAsia="hr-HR"/>
              </w:rPr>
            </w:pPr>
          </w:p>
        </w:tc>
      </w:tr>
      <w:tr w14:paraId="48CF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67" w:type="dxa"/>
            <w:vAlign w:val="center"/>
          </w:tcPr>
          <w:p w14:paraId="6D95355E">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3.</w:t>
            </w:r>
          </w:p>
        </w:tc>
        <w:tc>
          <w:tcPr>
            <w:tcW w:w="4121" w:type="dxa"/>
            <w:shd w:val="clear" w:color="000000" w:fill="FFFFFF"/>
            <w:vAlign w:val="center"/>
          </w:tcPr>
          <w:p w14:paraId="102D4C7D">
            <w:pPr>
              <w:spacing w:after="0" w:line="240" w:lineRule="auto"/>
              <w:rPr>
                <w:rFonts w:ascii="Times New Roman" w:hAnsi="Times New Roman" w:eastAsia="Times New Roman"/>
                <w:sz w:val="24"/>
                <w:szCs w:val="24"/>
                <w:vertAlign w:val="superscript"/>
                <w:lang w:eastAsia="hr-HR"/>
              </w:rPr>
            </w:pPr>
            <w:r>
              <w:rPr>
                <w:rFonts w:ascii="Times New Roman" w:hAnsi="Times New Roman" w:eastAsia="Times New Roman"/>
                <w:sz w:val="24"/>
                <w:szCs w:val="24"/>
                <w:lang w:eastAsia="hr-HR"/>
              </w:rPr>
              <w:t xml:space="preserve">Protiv osobe </w:t>
            </w:r>
            <w:r>
              <w:rPr>
                <w:rFonts w:ascii="Times New Roman" w:hAnsi="Times New Roman" w:eastAsia="Times New Roman"/>
                <w:b/>
                <w:bCs/>
                <w:sz w:val="24"/>
                <w:szCs w:val="24"/>
                <w:lang w:eastAsia="hr-HR"/>
              </w:rPr>
              <w:t>ovlaštene za zastupanje prijavitelja</w:t>
            </w:r>
            <w:r>
              <w:rPr>
                <w:rFonts w:ascii="Times New Roman" w:hAnsi="Times New Roman" w:eastAsia="Times New Roman"/>
                <w:sz w:val="24"/>
                <w:szCs w:val="24"/>
                <w:lang w:eastAsia="hr-HR"/>
              </w:rPr>
              <w:t xml:space="preserve"> (udruge/ustanove) se ne vodi kazneni postupak </w:t>
            </w:r>
          </w:p>
        </w:tc>
        <w:tc>
          <w:tcPr>
            <w:tcW w:w="5377" w:type="dxa"/>
            <w:shd w:val="clear" w:color="000000" w:fill="FFFFFF"/>
            <w:vAlign w:val="center"/>
          </w:tcPr>
          <w:p w14:paraId="34DC1C45">
            <w:pPr>
              <w:spacing w:after="0" w:line="240" w:lineRule="auto"/>
              <w:rPr>
                <w:rFonts w:ascii="Times New Roman" w:hAnsi="Times New Roman" w:eastAsia="Times New Roman"/>
                <w:sz w:val="24"/>
                <w:szCs w:val="24"/>
                <w:lang w:eastAsia="hr-HR"/>
              </w:rPr>
            </w:pPr>
          </w:p>
          <w:p w14:paraId="7B355A21">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Uvjerenje nadležnog suda da se protiv osobe ovlaštene za zastupanje prijavitelja (udruge/ustanove) ne vodi kazneni postupak, ne starije od šest (6) mjeseci do dana objave Javnog poziva </w:t>
            </w:r>
          </w:p>
          <w:p w14:paraId="51C7170F">
            <w:pPr>
              <w:spacing w:after="0" w:line="240" w:lineRule="auto"/>
              <w:rPr>
                <w:rFonts w:ascii="Times New Roman" w:hAnsi="Times New Roman" w:eastAsia="Times New Roman"/>
                <w:sz w:val="24"/>
                <w:szCs w:val="24"/>
                <w:lang w:eastAsia="hr-HR"/>
              </w:rPr>
            </w:pPr>
          </w:p>
        </w:tc>
      </w:tr>
      <w:tr w14:paraId="70AE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67" w:type="dxa"/>
            <w:vAlign w:val="center"/>
          </w:tcPr>
          <w:p w14:paraId="613C7926">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4.</w:t>
            </w:r>
          </w:p>
        </w:tc>
        <w:tc>
          <w:tcPr>
            <w:tcW w:w="4121" w:type="dxa"/>
            <w:shd w:val="clear" w:color="000000" w:fill="FFFFFF"/>
            <w:vAlign w:val="center"/>
          </w:tcPr>
          <w:p w14:paraId="6800947F">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Nema dugovanja prema državnom proračunu</w:t>
            </w:r>
            <w:r>
              <w:rPr>
                <w:rFonts w:ascii="Times New Roman" w:hAnsi="Times New Roman" w:eastAsia="Times New Roman"/>
                <w:sz w:val="24"/>
                <w:szCs w:val="24"/>
                <w:lang w:eastAsia="hr-HR"/>
              </w:rPr>
              <w:tab/>
            </w:r>
          </w:p>
        </w:tc>
        <w:tc>
          <w:tcPr>
            <w:tcW w:w="5377" w:type="dxa"/>
            <w:shd w:val="clear" w:color="000000" w:fill="FFFFFF"/>
            <w:vAlign w:val="center"/>
          </w:tcPr>
          <w:p w14:paraId="794DC957">
            <w:pPr>
              <w:spacing w:after="0" w:line="240" w:lineRule="auto"/>
              <w:rPr>
                <w:rFonts w:ascii="Times New Roman" w:hAnsi="Times New Roman" w:eastAsia="Times New Roman"/>
                <w:sz w:val="24"/>
                <w:szCs w:val="24"/>
                <w:lang w:eastAsia="hr-HR"/>
              </w:rPr>
            </w:pPr>
          </w:p>
          <w:p w14:paraId="01637E0A">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Potvrda Porezne uprave o stanju poreznog duga, ne starija od trideset (30) dana do dana objave Javnog poziva </w:t>
            </w:r>
          </w:p>
        </w:tc>
      </w:tr>
      <w:tr w14:paraId="3519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67" w:type="dxa"/>
            <w:vAlign w:val="center"/>
          </w:tcPr>
          <w:p w14:paraId="782468ED">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5.</w:t>
            </w:r>
          </w:p>
        </w:tc>
        <w:tc>
          <w:tcPr>
            <w:tcW w:w="4121" w:type="dxa"/>
            <w:shd w:val="clear" w:color="000000" w:fill="FFFFFF"/>
            <w:vAlign w:val="center"/>
          </w:tcPr>
          <w:p w14:paraId="27DA4FE6">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Predračun i/ili ponuda i/ili troškovnik i sl.</w:t>
            </w:r>
          </w:p>
        </w:tc>
        <w:tc>
          <w:tcPr>
            <w:tcW w:w="5377" w:type="dxa"/>
            <w:shd w:val="clear" w:color="000000" w:fill="FFFFFF"/>
            <w:vAlign w:val="center"/>
          </w:tcPr>
          <w:p w14:paraId="7D37F182">
            <w:pPr>
              <w:spacing w:after="0" w:line="240" w:lineRule="auto"/>
              <w:rPr>
                <w:rFonts w:ascii="Times New Roman" w:hAnsi="Times New Roman" w:eastAsia="Times New Roman"/>
                <w:bCs/>
                <w:sz w:val="24"/>
                <w:szCs w:val="24"/>
                <w:lang w:eastAsia="hr-HR"/>
              </w:rPr>
            </w:pPr>
          </w:p>
          <w:p w14:paraId="663908F4">
            <w:pPr>
              <w:spacing w:after="0" w:line="240" w:lineRule="auto"/>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Preslike predračuna i/ili ponude i/ili troškovnika i sl. (troškovi nakon objave Javnog poziva)</w:t>
            </w:r>
          </w:p>
        </w:tc>
      </w:tr>
      <w:tr w14:paraId="132B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67" w:type="dxa"/>
            <w:vAlign w:val="center"/>
          </w:tcPr>
          <w:p w14:paraId="27DA0638">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6.</w:t>
            </w:r>
          </w:p>
        </w:tc>
        <w:tc>
          <w:tcPr>
            <w:tcW w:w="4121" w:type="dxa"/>
            <w:shd w:val="clear" w:color="000000" w:fill="FFFFFF"/>
            <w:vAlign w:val="center"/>
          </w:tcPr>
          <w:p w14:paraId="722D5AF2">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Račun i potvrda o plaćanju troška za provedene aktivnosti – prema specifikaciji provedenih ulaganja</w:t>
            </w:r>
          </w:p>
        </w:tc>
        <w:tc>
          <w:tcPr>
            <w:tcW w:w="5377" w:type="dxa"/>
            <w:shd w:val="clear" w:color="000000" w:fill="FFFFFF"/>
            <w:vAlign w:val="center"/>
          </w:tcPr>
          <w:p w14:paraId="5106F67E">
            <w:pPr>
              <w:spacing w:after="0" w:line="240" w:lineRule="auto"/>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Preslika računa i preslika potvrde o plaćanju računa  (izvadak iz banke za bezgotovinsko plaćanje putem transakcijskog računa i/ili  blagajnički izvještaj u slučaju gotovinskog plaćanja i za gotovinske isplate iz blagajne) za provedene aktivnosti prije objave Javnog poziva </w:t>
            </w:r>
          </w:p>
        </w:tc>
      </w:tr>
      <w:tr w14:paraId="58BD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67" w:type="dxa"/>
            <w:vAlign w:val="center"/>
          </w:tcPr>
          <w:p w14:paraId="75C201E1">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7.</w:t>
            </w:r>
          </w:p>
        </w:tc>
        <w:tc>
          <w:tcPr>
            <w:tcW w:w="4121" w:type="dxa"/>
            <w:shd w:val="clear" w:color="000000" w:fill="FFFFFF"/>
            <w:vAlign w:val="center"/>
          </w:tcPr>
          <w:p w14:paraId="2ECF0B34">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IBAN</w:t>
            </w:r>
          </w:p>
        </w:tc>
        <w:tc>
          <w:tcPr>
            <w:tcW w:w="5377" w:type="dxa"/>
            <w:shd w:val="clear" w:color="000000" w:fill="FFFFFF"/>
            <w:vAlign w:val="center"/>
          </w:tcPr>
          <w:p w14:paraId="42271AE3">
            <w:pPr>
              <w:spacing w:after="0" w:line="240" w:lineRule="auto"/>
              <w:jc w:val="both"/>
              <w:rPr>
                <w:rFonts w:ascii="Times New Roman" w:hAnsi="Times New Roman"/>
                <w:bCs/>
                <w:sz w:val="24"/>
                <w:szCs w:val="24"/>
              </w:rPr>
            </w:pPr>
          </w:p>
          <w:p w14:paraId="4DF2052E">
            <w:pPr>
              <w:spacing w:after="0" w:line="240" w:lineRule="auto"/>
              <w:jc w:val="both"/>
              <w:rPr>
                <w:rFonts w:ascii="Times New Roman" w:hAnsi="Times New Roman" w:eastAsia="Times New Roman"/>
                <w:bCs/>
                <w:sz w:val="24"/>
                <w:szCs w:val="24"/>
                <w:lang w:eastAsia="hr-HR"/>
              </w:rPr>
            </w:pPr>
            <w:r>
              <w:rPr>
                <w:rFonts w:ascii="Times New Roman" w:hAnsi="Times New Roman"/>
                <w:bCs/>
                <w:sz w:val="24"/>
                <w:szCs w:val="24"/>
              </w:rPr>
              <w:t>Preslika ŽIRO računa s pripadajućim IBAN brojem</w:t>
            </w:r>
          </w:p>
        </w:tc>
      </w:tr>
      <w:tr w14:paraId="68E7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67" w:type="dxa"/>
            <w:vAlign w:val="center"/>
          </w:tcPr>
          <w:p w14:paraId="7D1050AF">
            <w:pPr>
              <w:spacing w:after="0" w:line="240" w:lineRule="auto"/>
              <w:rPr>
                <w:rFonts w:ascii="Times New Roman" w:hAnsi="Times New Roman" w:eastAsia="Times New Roman"/>
                <w:sz w:val="24"/>
                <w:szCs w:val="24"/>
                <w:lang w:eastAsia="hr-HR"/>
              </w:rPr>
            </w:pPr>
            <w:bookmarkStart w:id="19" w:name="_Hlk516655692"/>
            <w:r>
              <w:rPr>
                <w:rFonts w:ascii="Times New Roman" w:hAnsi="Times New Roman" w:eastAsia="Times New Roman"/>
                <w:sz w:val="24"/>
                <w:szCs w:val="24"/>
                <w:lang w:eastAsia="hr-HR"/>
              </w:rPr>
              <w:t>8.</w:t>
            </w:r>
          </w:p>
        </w:tc>
        <w:tc>
          <w:tcPr>
            <w:tcW w:w="4121" w:type="dxa"/>
            <w:tcBorders>
              <w:top w:val="single" w:color="auto" w:sz="4" w:space="0"/>
              <w:left w:val="single" w:color="auto" w:sz="4" w:space="0"/>
              <w:bottom w:val="single" w:color="auto" w:sz="4" w:space="0"/>
              <w:right w:val="single" w:color="auto" w:sz="4" w:space="0"/>
            </w:tcBorders>
            <w:shd w:val="clear" w:color="000000" w:fill="FFFFFF"/>
            <w:vAlign w:val="center"/>
          </w:tcPr>
          <w:p w14:paraId="75F431A6">
            <w:pPr>
              <w:spacing w:after="0" w:line="240" w:lineRule="auto"/>
              <w:rPr>
                <w:rFonts w:ascii="Times New Roman" w:hAnsi="Times New Roman"/>
                <w:sz w:val="24"/>
                <w:szCs w:val="24"/>
              </w:rPr>
            </w:pPr>
          </w:p>
          <w:p w14:paraId="342192AF">
            <w:pPr>
              <w:spacing w:after="0" w:line="240" w:lineRule="auto"/>
              <w:rPr>
                <w:rFonts w:ascii="Times New Roman" w:hAnsi="Times New Roman"/>
                <w:sz w:val="24"/>
                <w:szCs w:val="24"/>
              </w:rPr>
            </w:pPr>
            <w:r>
              <w:rPr>
                <w:rFonts w:ascii="Times New Roman" w:hAnsi="Times New Roman"/>
                <w:sz w:val="24"/>
                <w:szCs w:val="24"/>
              </w:rPr>
              <w:t xml:space="preserve">Vlasnički list ili Ugovor o najmu (za lovačke domove i/ili objekt za obradu i skladištenje odstrijeljene divljači) </w:t>
            </w:r>
            <w:r>
              <w:rPr>
                <w:rFonts w:ascii="Times New Roman" w:hAnsi="Times New Roman"/>
                <w:b/>
                <w:bCs/>
                <w:sz w:val="24"/>
                <w:szCs w:val="24"/>
              </w:rPr>
              <w:t>za Aktivnosti:  1.1., 1.2.</w:t>
            </w:r>
          </w:p>
        </w:tc>
        <w:tc>
          <w:tcPr>
            <w:tcW w:w="5377" w:type="dxa"/>
            <w:tcBorders>
              <w:top w:val="single" w:color="auto" w:sz="4" w:space="0"/>
              <w:left w:val="single" w:color="auto" w:sz="4" w:space="0"/>
              <w:bottom w:val="single" w:color="auto" w:sz="4" w:space="0"/>
              <w:right w:val="single" w:color="000000" w:sz="4" w:space="0"/>
            </w:tcBorders>
            <w:shd w:val="clear" w:color="000000" w:fill="FFFFFF"/>
            <w:vAlign w:val="center"/>
          </w:tcPr>
          <w:p w14:paraId="07051447">
            <w:pPr>
              <w:spacing w:after="0" w:line="240" w:lineRule="auto"/>
              <w:rPr>
                <w:rFonts w:ascii="Times New Roman" w:hAnsi="Times New Roman"/>
                <w:sz w:val="24"/>
                <w:szCs w:val="24"/>
              </w:rPr>
            </w:pPr>
            <w:r>
              <w:rPr>
                <w:rFonts w:ascii="Times New Roman" w:hAnsi="Times New Roman"/>
                <w:sz w:val="24"/>
                <w:szCs w:val="24"/>
              </w:rPr>
              <w:t>Preslika Vlasničkog lista ili Ugovora o najmu  najmanje na deset (10) godina ili dokaz da je objekt izgrađen prije 1968. godine</w:t>
            </w:r>
          </w:p>
        </w:tc>
      </w:tr>
      <w:tr w14:paraId="1CA8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67" w:type="dxa"/>
            <w:vAlign w:val="center"/>
          </w:tcPr>
          <w:p w14:paraId="16177071">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9.</w:t>
            </w:r>
          </w:p>
        </w:tc>
        <w:tc>
          <w:tcPr>
            <w:tcW w:w="4121" w:type="dxa"/>
            <w:tcBorders>
              <w:top w:val="single" w:color="auto" w:sz="4" w:space="0"/>
              <w:left w:val="single" w:color="auto" w:sz="4" w:space="0"/>
              <w:bottom w:val="single" w:color="auto" w:sz="4" w:space="0"/>
              <w:right w:val="single" w:color="auto" w:sz="4" w:space="0"/>
            </w:tcBorders>
            <w:shd w:val="clear" w:color="000000" w:fill="FFFFFF"/>
            <w:vAlign w:val="center"/>
          </w:tcPr>
          <w:p w14:paraId="1C4165EF">
            <w:pPr>
              <w:spacing w:after="0" w:line="240" w:lineRule="auto"/>
              <w:rPr>
                <w:rFonts w:ascii="Times New Roman" w:hAnsi="Times New Roman"/>
                <w:sz w:val="24"/>
                <w:szCs w:val="24"/>
              </w:rPr>
            </w:pPr>
            <w:r>
              <w:rPr>
                <w:rFonts w:ascii="Times New Roman" w:hAnsi="Times New Roman"/>
                <w:sz w:val="24"/>
                <w:szCs w:val="24"/>
              </w:rPr>
              <w:t xml:space="preserve">Dokaz o kupnji, te zdravstvenom stanju divljači i ispuštanju divljači u lovište </w:t>
            </w:r>
            <w:r>
              <w:rPr>
                <w:rFonts w:ascii="Times New Roman" w:hAnsi="Times New Roman"/>
                <w:b/>
                <w:bCs/>
                <w:sz w:val="24"/>
                <w:szCs w:val="24"/>
              </w:rPr>
              <w:t>za Aktivnost 1.4.</w:t>
            </w:r>
          </w:p>
        </w:tc>
        <w:tc>
          <w:tcPr>
            <w:tcW w:w="5377" w:type="dxa"/>
            <w:tcBorders>
              <w:top w:val="single" w:color="auto" w:sz="4" w:space="0"/>
              <w:left w:val="single" w:color="auto" w:sz="4" w:space="0"/>
              <w:bottom w:val="single" w:color="auto" w:sz="4" w:space="0"/>
              <w:right w:val="single" w:color="000000" w:sz="4" w:space="0"/>
            </w:tcBorders>
            <w:shd w:val="clear" w:color="000000" w:fill="FFFFFF"/>
            <w:vAlign w:val="center"/>
          </w:tcPr>
          <w:p w14:paraId="13F05539">
            <w:pPr>
              <w:spacing w:after="0" w:line="240" w:lineRule="auto"/>
              <w:rPr>
                <w:rFonts w:ascii="Times New Roman" w:hAnsi="Times New Roman"/>
                <w:sz w:val="24"/>
                <w:szCs w:val="24"/>
              </w:rPr>
            </w:pPr>
          </w:p>
          <w:p w14:paraId="0602258E">
            <w:pPr>
              <w:spacing w:after="0" w:line="240" w:lineRule="auto"/>
              <w:rPr>
                <w:rFonts w:ascii="Times New Roman" w:hAnsi="Times New Roman"/>
                <w:sz w:val="24"/>
                <w:szCs w:val="24"/>
              </w:rPr>
            </w:pPr>
          </w:p>
          <w:p w14:paraId="1B6774C2">
            <w:pPr>
              <w:spacing w:after="0" w:line="240" w:lineRule="auto"/>
              <w:rPr>
                <w:rFonts w:ascii="Times New Roman" w:hAnsi="Times New Roman"/>
                <w:sz w:val="24"/>
                <w:szCs w:val="24"/>
              </w:rPr>
            </w:pPr>
            <w:r>
              <w:rPr>
                <w:rFonts w:ascii="Times New Roman" w:hAnsi="Times New Roman"/>
                <w:sz w:val="24"/>
                <w:szCs w:val="24"/>
              </w:rPr>
              <w:t xml:space="preserve">Preslika izdanog račun i preslika dokaza o plaćanju računa za nabavku divljači, preslika veterinarskog uvjerenja o zdravstvenom stanju unesene divljači i Zapisnik o ispuštanju divljači u lovište  </w:t>
            </w:r>
          </w:p>
          <w:p w14:paraId="6AF6E47B">
            <w:pPr>
              <w:spacing w:after="0" w:line="240" w:lineRule="auto"/>
              <w:rPr>
                <w:rFonts w:ascii="Times New Roman" w:hAnsi="Times New Roman"/>
                <w:sz w:val="24"/>
                <w:szCs w:val="24"/>
              </w:rPr>
            </w:pPr>
          </w:p>
        </w:tc>
      </w:tr>
      <w:bookmarkEnd w:id="19"/>
    </w:tbl>
    <w:p w14:paraId="27226E70">
      <w:pPr>
        <w:rPr>
          <w:rFonts w:ascii="Times New Roman" w:hAnsi="Times New Roman"/>
          <w:sz w:val="24"/>
          <w:szCs w:val="24"/>
        </w:rPr>
      </w:pPr>
    </w:p>
    <w:p w14:paraId="7DDB87AB">
      <w:pPr>
        <w:rPr>
          <w:rFonts w:ascii="Times New Roman" w:hAnsi="Times New Roman"/>
          <w:sz w:val="24"/>
          <w:szCs w:val="24"/>
        </w:rPr>
      </w:pPr>
    </w:p>
    <w:tbl>
      <w:tblPr>
        <w:tblStyle w:val="13"/>
        <w:tblW w:w="52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4207"/>
        <w:gridCol w:w="5668"/>
      </w:tblGrid>
      <w:tr w14:paraId="4157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5000" w:type="pct"/>
            <w:gridSpan w:val="3"/>
            <w:shd w:val="clear" w:color="auto" w:fill="auto"/>
            <w:noWrap/>
            <w:vAlign w:val="center"/>
          </w:tcPr>
          <w:p w14:paraId="6EF37ADA">
            <w:pPr>
              <w:spacing w:after="0" w:line="240" w:lineRule="auto"/>
              <w:jc w:val="center"/>
              <w:rPr>
                <w:rFonts w:ascii="Times New Roman" w:hAnsi="Times New Roman"/>
                <w:b/>
                <w:sz w:val="24"/>
                <w:szCs w:val="24"/>
              </w:rPr>
            </w:pPr>
          </w:p>
          <w:p w14:paraId="0DBCF7EE">
            <w:pPr>
              <w:spacing w:after="0" w:line="240" w:lineRule="auto"/>
              <w:jc w:val="center"/>
              <w:rPr>
                <w:rFonts w:ascii="Times New Roman" w:hAnsi="Times New Roman"/>
                <w:b/>
                <w:sz w:val="24"/>
                <w:szCs w:val="24"/>
              </w:rPr>
            </w:pPr>
            <w:r>
              <w:rPr>
                <w:rFonts w:ascii="Times New Roman" w:hAnsi="Times New Roman"/>
                <w:b/>
                <w:sz w:val="24"/>
                <w:szCs w:val="24"/>
              </w:rPr>
              <w:t>TRGOVAČKA DRUŠTVA/OBRTI</w:t>
            </w:r>
          </w:p>
          <w:p w14:paraId="25802D52">
            <w:pPr>
              <w:spacing w:after="0" w:line="240" w:lineRule="auto"/>
              <w:jc w:val="center"/>
              <w:rPr>
                <w:rFonts w:ascii="Times New Roman" w:hAnsi="Times New Roman"/>
                <w:b/>
                <w:sz w:val="24"/>
                <w:szCs w:val="24"/>
                <w:lang w:eastAsia="hr-HR"/>
              </w:rPr>
            </w:pPr>
          </w:p>
        </w:tc>
      </w:tr>
      <w:tr w14:paraId="770A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75" w:type="pct"/>
            <w:shd w:val="clear" w:color="auto" w:fill="auto"/>
            <w:noWrap/>
            <w:vAlign w:val="center"/>
          </w:tcPr>
          <w:p w14:paraId="4FB1D392">
            <w:pPr>
              <w:spacing w:after="0" w:line="240" w:lineRule="auto"/>
              <w:rPr>
                <w:rFonts w:ascii="Times New Roman" w:hAnsi="Times New Roman" w:eastAsia="Times New Roman"/>
                <w:sz w:val="24"/>
                <w:szCs w:val="24"/>
                <w:highlight w:val="cyan"/>
                <w:lang w:eastAsia="hr-HR"/>
              </w:rPr>
            </w:pPr>
          </w:p>
        </w:tc>
        <w:tc>
          <w:tcPr>
            <w:tcW w:w="2013" w:type="pct"/>
            <w:shd w:val="clear" w:color="auto" w:fill="auto"/>
            <w:noWrap/>
            <w:vAlign w:val="center"/>
          </w:tcPr>
          <w:p w14:paraId="740E6F70">
            <w:pPr>
              <w:spacing w:after="0" w:line="240" w:lineRule="auto"/>
              <w:jc w:val="center"/>
              <w:rPr>
                <w:rFonts w:ascii="Times New Roman" w:hAnsi="Times New Roman" w:eastAsia="Times New Roman"/>
                <w:sz w:val="24"/>
                <w:szCs w:val="24"/>
                <w:lang w:eastAsia="hr-HR"/>
              </w:rPr>
            </w:pPr>
            <w:r>
              <w:rPr>
                <w:rFonts w:ascii="Times New Roman" w:hAnsi="Times New Roman" w:eastAsia="Times New Roman"/>
                <w:b/>
                <w:sz w:val="24"/>
                <w:szCs w:val="24"/>
                <w:lang w:eastAsia="hr-HR"/>
              </w:rPr>
              <w:t>U V J E T I</w:t>
            </w:r>
          </w:p>
        </w:tc>
        <w:tc>
          <w:tcPr>
            <w:tcW w:w="2712" w:type="pct"/>
            <w:shd w:val="clear" w:color="auto" w:fill="auto"/>
            <w:vAlign w:val="center"/>
          </w:tcPr>
          <w:p w14:paraId="2C097E76">
            <w:pPr>
              <w:spacing w:after="0" w:line="240" w:lineRule="auto"/>
              <w:jc w:val="center"/>
              <w:rPr>
                <w:rFonts w:hint="default" w:ascii="Times New Roman" w:hAnsi="Times New Roman" w:eastAsia="Times New Roman"/>
                <w:b/>
                <w:sz w:val="24"/>
                <w:szCs w:val="24"/>
                <w:lang w:val="en-US" w:eastAsia="hr-HR"/>
              </w:rPr>
            </w:pPr>
          </w:p>
          <w:p w14:paraId="68D60F00">
            <w:pPr>
              <w:spacing w:after="0" w:line="240" w:lineRule="auto"/>
              <w:jc w:val="center"/>
              <w:rPr>
                <w:rFonts w:ascii="Times New Roman" w:hAnsi="Times New Roman" w:eastAsia="Times New Roman"/>
                <w:b/>
                <w:sz w:val="24"/>
                <w:szCs w:val="24"/>
                <w:lang w:eastAsia="hr-HR"/>
              </w:rPr>
            </w:pPr>
            <w:r>
              <w:rPr>
                <w:rFonts w:hint="default" w:ascii="Times New Roman" w:hAnsi="Times New Roman" w:eastAsia="Times New Roman"/>
                <w:b/>
                <w:sz w:val="24"/>
                <w:szCs w:val="24"/>
                <w:lang w:val="en-US" w:eastAsia="hr-HR"/>
              </w:rPr>
              <w:t xml:space="preserve"> </w:t>
            </w:r>
            <w:r>
              <w:rPr>
                <w:rFonts w:ascii="Times New Roman" w:hAnsi="Times New Roman" w:eastAsia="Times New Roman"/>
                <w:b/>
                <w:sz w:val="24"/>
                <w:szCs w:val="24"/>
                <w:lang w:eastAsia="hr-HR"/>
              </w:rPr>
              <w:t>D O K A Z I</w:t>
            </w:r>
          </w:p>
          <w:p w14:paraId="11016B34">
            <w:pPr>
              <w:spacing w:after="0" w:line="240" w:lineRule="auto"/>
              <w:jc w:val="center"/>
              <w:rPr>
                <w:rFonts w:ascii="Times New Roman" w:hAnsi="Times New Roman" w:eastAsia="Times New Roman"/>
                <w:b/>
                <w:sz w:val="24"/>
                <w:szCs w:val="24"/>
                <w:lang w:eastAsia="hr-HR"/>
              </w:rPr>
            </w:pPr>
          </w:p>
        </w:tc>
      </w:tr>
      <w:tr w14:paraId="15EA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75" w:type="pct"/>
            <w:shd w:val="clear" w:color="auto" w:fill="FFFFFF"/>
            <w:noWrap/>
            <w:vAlign w:val="center"/>
          </w:tcPr>
          <w:p w14:paraId="64578190">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1.</w:t>
            </w:r>
          </w:p>
        </w:tc>
        <w:tc>
          <w:tcPr>
            <w:tcW w:w="2013" w:type="pct"/>
            <w:noWrap/>
            <w:vAlign w:val="center"/>
          </w:tcPr>
          <w:p w14:paraId="0C126E39">
            <w:pPr>
              <w:pStyle w:val="38"/>
              <w:jc w:val="both"/>
              <w:rPr>
                <w:rFonts w:ascii="Times New Roman" w:hAnsi="Times New Roman"/>
                <w:sz w:val="24"/>
                <w:szCs w:val="24"/>
              </w:rPr>
            </w:pPr>
            <w:r>
              <w:rPr>
                <w:rFonts w:ascii="Times New Roman" w:hAnsi="Times New Roman"/>
                <w:sz w:val="24"/>
                <w:szCs w:val="24"/>
              </w:rPr>
              <w:t>Upis u odgovarajući registar/upisnik</w:t>
            </w:r>
          </w:p>
        </w:tc>
        <w:tc>
          <w:tcPr>
            <w:tcW w:w="2712" w:type="pct"/>
            <w:shd w:val="clear" w:color="auto" w:fill="auto"/>
            <w:vAlign w:val="center"/>
          </w:tcPr>
          <w:p w14:paraId="3A1B2C51">
            <w:pPr>
              <w:pStyle w:val="38"/>
              <w:jc w:val="both"/>
              <w:rPr>
                <w:rFonts w:ascii="Times New Roman" w:hAnsi="Times New Roman"/>
                <w:sz w:val="24"/>
                <w:szCs w:val="24"/>
              </w:rPr>
            </w:pPr>
          </w:p>
          <w:p w14:paraId="3F7FEE53">
            <w:pPr>
              <w:pStyle w:val="38"/>
              <w:jc w:val="both"/>
              <w:rPr>
                <w:rFonts w:ascii="Times New Roman" w:hAnsi="Times New Roman"/>
                <w:sz w:val="24"/>
                <w:szCs w:val="24"/>
              </w:rPr>
            </w:pPr>
            <w:r>
              <w:rPr>
                <w:rFonts w:ascii="Times New Roman" w:hAnsi="Times New Roman"/>
                <w:sz w:val="24"/>
                <w:szCs w:val="24"/>
              </w:rPr>
              <w:t>Izvadak (ili e-ispis) iz Registra, ne stariji od trideset (30) dana do dana objave Javnog poziva</w:t>
            </w:r>
          </w:p>
          <w:p w14:paraId="29E6CA42">
            <w:pPr>
              <w:pStyle w:val="38"/>
              <w:jc w:val="both"/>
              <w:rPr>
                <w:rFonts w:ascii="Times New Roman" w:hAnsi="Times New Roman"/>
                <w:sz w:val="24"/>
                <w:szCs w:val="24"/>
              </w:rPr>
            </w:pPr>
          </w:p>
        </w:tc>
      </w:tr>
      <w:tr w14:paraId="052C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75" w:type="pct"/>
            <w:shd w:val="clear" w:color="auto" w:fill="FFFFFF"/>
            <w:noWrap/>
            <w:vAlign w:val="center"/>
          </w:tcPr>
          <w:p w14:paraId="4FF07C53">
            <w:pPr>
              <w:spacing w:after="0" w:line="240" w:lineRule="auto"/>
              <w:rPr>
                <w:rFonts w:ascii="Times New Roman" w:hAnsi="Times New Roman" w:eastAsia="Times New Roman"/>
                <w:sz w:val="24"/>
                <w:szCs w:val="24"/>
                <w:lang w:eastAsia="hr-HR"/>
              </w:rPr>
            </w:pPr>
          </w:p>
          <w:p w14:paraId="57DE5757">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2.</w:t>
            </w:r>
          </w:p>
          <w:p w14:paraId="07C9809F">
            <w:pPr>
              <w:spacing w:after="0" w:line="240" w:lineRule="auto"/>
              <w:rPr>
                <w:rFonts w:ascii="Times New Roman" w:hAnsi="Times New Roman" w:eastAsia="Times New Roman"/>
                <w:sz w:val="24"/>
                <w:szCs w:val="24"/>
                <w:lang w:eastAsia="hr-HR"/>
              </w:rPr>
            </w:pPr>
          </w:p>
        </w:tc>
        <w:tc>
          <w:tcPr>
            <w:tcW w:w="2013" w:type="pct"/>
            <w:shd w:val="clear" w:color="000000" w:fill="FFFFFF"/>
            <w:noWrap/>
            <w:vAlign w:val="center"/>
          </w:tcPr>
          <w:p w14:paraId="58580956">
            <w:pPr>
              <w:pStyle w:val="38"/>
              <w:jc w:val="both"/>
              <w:rPr>
                <w:rFonts w:ascii="Times New Roman" w:hAnsi="Times New Roman"/>
                <w:sz w:val="24"/>
                <w:szCs w:val="24"/>
              </w:rPr>
            </w:pPr>
            <w:r>
              <w:rPr>
                <w:rFonts w:ascii="Times New Roman" w:hAnsi="Times New Roman" w:eastAsia="Times New Roman"/>
                <w:sz w:val="24"/>
                <w:szCs w:val="24"/>
                <w:lang w:eastAsia="hr-HR"/>
              </w:rPr>
              <w:t xml:space="preserve">Protiv </w:t>
            </w:r>
            <w:r>
              <w:rPr>
                <w:rFonts w:ascii="Times New Roman" w:hAnsi="Times New Roman" w:eastAsia="Times New Roman"/>
                <w:b/>
                <w:sz w:val="24"/>
                <w:szCs w:val="24"/>
                <w:lang w:eastAsia="hr-HR"/>
              </w:rPr>
              <w:t>prijavitelja (obrt i trgovačko društvo)</w:t>
            </w:r>
            <w:r>
              <w:rPr>
                <w:rFonts w:ascii="Times New Roman" w:hAnsi="Times New Roman" w:eastAsia="Times New Roman"/>
                <w:bCs/>
                <w:sz w:val="24"/>
                <w:szCs w:val="24"/>
                <w:lang w:eastAsia="hr-HR"/>
              </w:rPr>
              <w:t xml:space="preserve"> </w:t>
            </w:r>
            <w:r>
              <w:rPr>
                <w:rFonts w:ascii="Times New Roman" w:hAnsi="Times New Roman" w:eastAsia="Times New Roman"/>
                <w:sz w:val="24"/>
                <w:szCs w:val="24"/>
                <w:lang w:eastAsia="hr-HR"/>
              </w:rPr>
              <w:t>se ne vodi kazneni postupak</w:t>
            </w:r>
          </w:p>
        </w:tc>
        <w:tc>
          <w:tcPr>
            <w:tcW w:w="2712" w:type="pct"/>
            <w:shd w:val="clear" w:color="000000" w:fill="FFFFFF"/>
            <w:vAlign w:val="center"/>
          </w:tcPr>
          <w:p w14:paraId="446AFD36">
            <w:pPr>
              <w:pStyle w:val="3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Uvjerenje nadležnog suda da se protiv prijavitelja (obrt/trgovačko društvo) ne vodi kazneni postupak, ne starije od šest (6) mjeseci do dana objave Javnog poziva</w:t>
            </w:r>
          </w:p>
          <w:p w14:paraId="5780D9B5">
            <w:pPr>
              <w:pStyle w:val="38"/>
              <w:jc w:val="both"/>
              <w:rPr>
                <w:rFonts w:ascii="Times New Roman" w:hAnsi="Times New Roman"/>
                <w:sz w:val="24"/>
                <w:szCs w:val="24"/>
              </w:rPr>
            </w:pPr>
            <w:r>
              <w:rPr>
                <w:rFonts w:ascii="Times New Roman" w:hAnsi="Times New Roman" w:eastAsia="Times New Roman"/>
                <w:sz w:val="24"/>
                <w:szCs w:val="24"/>
                <w:lang w:eastAsia="hr-HR"/>
              </w:rPr>
              <w:t xml:space="preserve"> </w:t>
            </w:r>
          </w:p>
        </w:tc>
      </w:tr>
      <w:tr w14:paraId="54E0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275" w:type="pct"/>
            <w:shd w:val="clear" w:color="auto" w:fill="FFFFFF"/>
            <w:noWrap/>
            <w:vAlign w:val="center"/>
          </w:tcPr>
          <w:p w14:paraId="22D350D5">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3. </w:t>
            </w:r>
          </w:p>
        </w:tc>
        <w:tc>
          <w:tcPr>
            <w:tcW w:w="2013" w:type="pct"/>
            <w:shd w:val="clear" w:color="000000" w:fill="FFFFFF"/>
            <w:noWrap/>
            <w:vAlign w:val="center"/>
          </w:tcPr>
          <w:p w14:paraId="1FD0C5DC">
            <w:pPr>
              <w:pStyle w:val="38"/>
              <w:jc w:val="both"/>
              <w:rPr>
                <w:rFonts w:ascii="Times New Roman" w:hAnsi="Times New Roman"/>
                <w:sz w:val="24"/>
                <w:szCs w:val="24"/>
              </w:rPr>
            </w:pPr>
            <w:r>
              <w:rPr>
                <w:rFonts w:ascii="Times New Roman" w:hAnsi="Times New Roman" w:eastAsia="Times New Roman"/>
                <w:sz w:val="24"/>
                <w:szCs w:val="24"/>
                <w:lang w:eastAsia="hr-HR"/>
              </w:rPr>
              <w:t xml:space="preserve">Protiv </w:t>
            </w:r>
            <w:r>
              <w:rPr>
                <w:rFonts w:ascii="Times New Roman" w:hAnsi="Times New Roman" w:eastAsia="Times New Roman"/>
                <w:b/>
                <w:sz w:val="24"/>
                <w:szCs w:val="24"/>
                <w:lang w:eastAsia="hr-HR"/>
              </w:rPr>
              <w:t>osobe ovlaštene za zastupanje prijavitelja</w:t>
            </w:r>
            <w:r>
              <w:rPr>
                <w:rFonts w:ascii="Times New Roman" w:hAnsi="Times New Roman" w:eastAsia="Times New Roman"/>
                <w:sz w:val="24"/>
                <w:szCs w:val="24"/>
                <w:lang w:eastAsia="hr-HR"/>
              </w:rPr>
              <w:t xml:space="preserve"> </w:t>
            </w:r>
            <w:r>
              <w:rPr>
                <w:rFonts w:ascii="Times New Roman" w:hAnsi="Times New Roman" w:eastAsia="Times New Roman"/>
                <w:b/>
                <w:bCs/>
                <w:sz w:val="24"/>
                <w:szCs w:val="24"/>
                <w:lang w:eastAsia="hr-HR"/>
              </w:rPr>
              <w:t>(samo za trgovačko društvo)</w:t>
            </w:r>
            <w:r>
              <w:rPr>
                <w:rFonts w:ascii="Times New Roman" w:hAnsi="Times New Roman" w:eastAsia="Times New Roman"/>
                <w:sz w:val="24"/>
                <w:szCs w:val="24"/>
                <w:lang w:eastAsia="hr-HR"/>
              </w:rPr>
              <w:t xml:space="preserve"> se ne vodi kazneni postupak </w:t>
            </w:r>
          </w:p>
        </w:tc>
        <w:tc>
          <w:tcPr>
            <w:tcW w:w="2712" w:type="pct"/>
            <w:shd w:val="clear" w:color="000000" w:fill="FFFFFF"/>
            <w:vAlign w:val="center"/>
          </w:tcPr>
          <w:p w14:paraId="27435187">
            <w:pPr>
              <w:pStyle w:val="3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Uvjerenje nadležnog suda da se protiv osobe ovlaštene za zastupanje prijavitelja (trgovačko društvo) ne vodi kazneni postupak, ne starije od šest (6) mjeseci do dana objave Javnog poziva</w:t>
            </w:r>
          </w:p>
          <w:p w14:paraId="5C9B8241">
            <w:pPr>
              <w:pStyle w:val="38"/>
              <w:jc w:val="both"/>
              <w:rPr>
                <w:rFonts w:ascii="Times New Roman" w:hAnsi="Times New Roman" w:eastAsia="Times New Roman"/>
                <w:sz w:val="24"/>
                <w:szCs w:val="24"/>
                <w:lang w:eastAsia="hr-HR"/>
              </w:rPr>
            </w:pPr>
          </w:p>
        </w:tc>
      </w:tr>
      <w:tr w14:paraId="6050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75" w:type="pct"/>
            <w:shd w:val="clear" w:color="auto" w:fill="FFFFFF"/>
            <w:noWrap/>
            <w:vAlign w:val="center"/>
          </w:tcPr>
          <w:p w14:paraId="53CF72C6">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4.</w:t>
            </w:r>
          </w:p>
        </w:tc>
        <w:tc>
          <w:tcPr>
            <w:tcW w:w="2013" w:type="pct"/>
            <w:shd w:val="clear" w:color="auto" w:fill="FFFFFF"/>
            <w:noWrap/>
            <w:vAlign w:val="center"/>
          </w:tcPr>
          <w:p w14:paraId="5872E607">
            <w:pPr>
              <w:spacing w:after="0" w:line="240" w:lineRule="auto"/>
              <w:rPr>
                <w:rFonts w:ascii="Times New Roman" w:hAnsi="Times New Roman" w:eastAsia="Times New Roman"/>
                <w:sz w:val="24"/>
                <w:szCs w:val="24"/>
                <w:lang w:eastAsia="hr-HR"/>
              </w:rPr>
            </w:pPr>
            <w:r>
              <w:rPr>
                <w:rFonts w:ascii="Times New Roman" w:hAnsi="Times New Roman"/>
                <w:sz w:val="24"/>
                <w:szCs w:val="24"/>
              </w:rPr>
              <w:t>Nema dugovanja prema državnom proračunu</w:t>
            </w:r>
          </w:p>
        </w:tc>
        <w:tc>
          <w:tcPr>
            <w:tcW w:w="2712" w:type="pct"/>
            <w:shd w:val="clear" w:color="auto" w:fill="FFFFFF"/>
            <w:vAlign w:val="center"/>
          </w:tcPr>
          <w:p w14:paraId="4AEF7B0D">
            <w:pPr>
              <w:spacing w:after="0" w:line="240" w:lineRule="auto"/>
              <w:rPr>
                <w:rFonts w:ascii="Times New Roman" w:hAnsi="Times New Roman"/>
                <w:sz w:val="24"/>
                <w:szCs w:val="24"/>
              </w:rPr>
            </w:pPr>
            <w:r>
              <w:rPr>
                <w:rFonts w:ascii="Times New Roman" w:hAnsi="Times New Roman"/>
                <w:sz w:val="24"/>
                <w:szCs w:val="24"/>
              </w:rPr>
              <w:t xml:space="preserve">Potvrda Porezne uprave o stanju poreznog duga, ne starija od trideset (30) dana do dana objave Javnog poziva </w:t>
            </w:r>
          </w:p>
          <w:p w14:paraId="3F0D713B">
            <w:pPr>
              <w:spacing w:after="0" w:line="240" w:lineRule="auto"/>
              <w:rPr>
                <w:rFonts w:ascii="Times New Roman" w:hAnsi="Times New Roman"/>
                <w:sz w:val="24"/>
                <w:szCs w:val="24"/>
                <w:lang w:eastAsia="hr-HR"/>
              </w:rPr>
            </w:pPr>
          </w:p>
        </w:tc>
      </w:tr>
      <w:tr w14:paraId="64E5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275" w:type="pct"/>
            <w:shd w:val="clear" w:color="auto" w:fill="FFFFFF"/>
            <w:noWrap/>
            <w:vAlign w:val="center"/>
          </w:tcPr>
          <w:p w14:paraId="0A5C1817">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5.</w:t>
            </w:r>
          </w:p>
        </w:tc>
        <w:tc>
          <w:tcPr>
            <w:tcW w:w="2013" w:type="pct"/>
            <w:shd w:val="clear" w:color="000000" w:fill="FFFFFF"/>
            <w:noWrap/>
            <w:vAlign w:val="center"/>
          </w:tcPr>
          <w:p w14:paraId="0A14F390">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Predračun i/ili ponuda i/ili troškovnik i sl. </w:t>
            </w:r>
            <w:r>
              <w:rPr>
                <w:rFonts w:ascii="Times New Roman" w:hAnsi="Times New Roman" w:eastAsia="Times New Roman"/>
                <w:sz w:val="24"/>
                <w:szCs w:val="24"/>
                <w:lang w:eastAsia="hr-HR"/>
              </w:rPr>
              <w:tab/>
            </w:r>
          </w:p>
        </w:tc>
        <w:tc>
          <w:tcPr>
            <w:tcW w:w="2712" w:type="pct"/>
            <w:shd w:val="clear" w:color="000000" w:fill="FFFFFF"/>
            <w:vAlign w:val="center"/>
          </w:tcPr>
          <w:p w14:paraId="60D0A08B">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Preslike predračuna i/ili ponude i/ili troškovnika i sli. (troškovi nakon objave Javnog poziva)</w:t>
            </w:r>
          </w:p>
          <w:p w14:paraId="3EABEE68">
            <w:pPr>
              <w:spacing w:after="0" w:line="240" w:lineRule="auto"/>
              <w:rPr>
                <w:rFonts w:ascii="Times New Roman" w:hAnsi="Times New Roman" w:eastAsia="Times New Roman"/>
                <w:sz w:val="24"/>
                <w:szCs w:val="24"/>
                <w:lang w:eastAsia="hr-HR"/>
              </w:rPr>
            </w:pPr>
          </w:p>
        </w:tc>
      </w:tr>
      <w:tr w14:paraId="71E9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75" w:type="pct"/>
            <w:shd w:val="clear" w:color="auto" w:fill="FFFFFF"/>
            <w:noWrap/>
            <w:vAlign w:val="center"/>
          </w:tcPr>
          <w:p w14:paraId="5FF21599">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6.</w:t>
            </w:r>
          </w:p>
        </w:tc>
        <w:tc>
          <w:tcPr>
            <w:tcW w:w="2013" w:type="pct"/>
            <w:shd w:val="clear" w:color="000000" w:fill="FFFFFF"/>
            <w:noWrap/>
            <w:vAlign w:val="center"/>
          </w:tcPr>
          <w:p w14:paraId="65338A10">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Račun i potvrda o plaćanju troška za provedene aktivnosti – prema specifikaciji provedenih ulaganja</w:t>
            </w:r>
          </w:p>
        </w:tc>
        <w:tc>
          <w:tcPr>
            <w:tcW w:w="2712" w:type="pct"/>
            <w:shd w:val="clear" w:color="000000" w:fill="FFFFFF"/>
            <w:vAlign w:val="center"/>
          </w:tcPr>
          <w:p w14:paraId="05446ED8">
            <w:pPr>
              <w:spacing w:after="0" w:line="240" w:lineRule="auto"/>
              <w:rPr>
                <w:rFonts w:ascii="Times New Roman" w:hAnsi="Times New Roman" w:eastAsia="Times New Roman"/>
                <w:bCs/>
                <w:sz w:val="24"/>
                <w:szCs w:val="24"/>
                <w:lang w:eastAsia="hr-HR"/>
              </w:rPr>
            </w:pPr>
          </w:p>
          <w:p w14:paraId="2D5CFE94">
            <w:pPr>
              <w:spacing w:after="0" w:line="240" w:lineRule="auto"/>
              <w:rPr>
                <w:rFonts w:ascii="Times New Roman" w:hAnsi="Times New Roman" w:eastAsia="Times New Roman"/>
                <w:sz w:val="24"/>
                <w:szCs w:val="24"/>
                <w:lang w:eastAsia="hr-HR"/>
              </w:rPr>
            </w:pPr>
            <w:r>
              <w:rPr>
                <w:rFonts w:ascii="Times New Roman" w:hAnsi="Times New Roman" w:eastAsia="Times New Roman"/>
                <w:bCs/>
                <w:sz w:val="24"/>
                <w:szCs w:val="24"/>
                <w:lang w:eastAsia="hr-HR"/>
              </w:rPr>
              <w:t>Preslika računa i preslika potvrde o plaćanju računa  (izvadak iz banke</w:t>
            </w:r>
            <w:r>
              <w:rPr>
                <w:rFonts w:ascii="Times New Roman" w:hAnsi="Times New Roman" w:eastAsia="Times New Roman"/>
                <w:sz w:val="24"/>
                <w:szCs w:val="24"/>
                <w:lang w:eastAsia="hr-HR"/>
              </w:rPr>
              <w:t xml:space="preserve"> za bezgotovinsko plaćanje putem transakcijskog računa i/ili  blagajnički izvještaj u slučaju gotovinskog plaćanja i za gotovinske isplate iz blagajne) za provedene aktivnosti prije objave Javnog poziva</w:t>
            </w:r>
          </w:p>
          <w:p w14:paraId="639F50C0">
            <w:pPr>
              <w:spacing w:after="0" w:line="240" w:lineRule="auto"/>
              <w:rPr>
                <w:rFonts w:ascii="Times New Roman" w:hAnsi="Times New Roman" w:eastAsia="Times New Roman"/>
                <w:sz w:val="24"/>
                <w:szCs w:val="24"/>
                <w:lang w:eastAsia="hr-HR"/>
              </w:rPr>
            </w:pPr>
          </w:p>
        </w:tc>
      </w:tr>
      <w:tr w14:paraId="7E3C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275" w:type="pct"/>
            <w:shd w:val="clear" w:color="auto" w:fill="FFFFFF"/>
            <w:noWrap/>
            <w:vAlign w:val="center"/>
          </w:tcPr>
          <w:p w14:paraId="2F6649FB">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7.</w:t>
            </w:r>
          </w:p>
        </w:tc>
        <w:tc>
          <w:tcPr>
            <w:tcW w:w="2013" w:type="pct"/>
            <w:shd w:val="clear" w:color="000000" w:fill="FFFFFF"/>
            <w:noWrap/>
            <w:vAlign w:val="center"/>
          </w:tcPr>
          <w:p w14:paraId="02310039">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IBAN</w:t>
            </w:r>
          </w:p>
        </w:tc>
        <w:tc>
          <w:tcPr>
            <w:tcW w:w="2712" w:type="pct"/>
            <w:shd w:val="clear" w:color="000000" w:fill="FFFFFF"/>
            <w:vAlign w:val="center"/>
          </w:tcPr>
          <w:p w14:paraId="2CE23C9C">
            <w:pPr>
              <w:spacing w:after="0" w:line="240" w:lineRule="auto"/>
              <w:rPr>
                <w:rFonts w:ascii="Times New Roman" w:hAnsi="Times New Roman" w:eastAsia="Times New Roman"/>
                <w:sz w:val="24"/>
                <w:szCs w:val="24"/>
                <w:lang w:eastAsia="hr-HR"/>
              </w:rPr>
            </w:pPr>
            <w:r>
              <w:rPr>
                <w:rFonts w:ascii="Times New Roman" w:hAnsi="Times New Roman"/>
                <w:sz w:val="24"/>
                <w:szCs w:val="24"/>
              </w:rPr>
              <w:t xml:space="preserve">Preslika ŽIRO računa s pripadajućim IBAN brojem </w:t>
            </w:r>
          </w:p>
        </w:tc>
      </w:tr>
      <w:tr w14:paraId="3ECC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275" w:type="pct"/>
            <w:shd w:val="clear" w:color="auto" w:fill="FFFFFF"/>
            <w:noWrap/>
            <w:vAlign w:val="center"/>
          </w:tcPr>
          <w:p w14:paraId="5FAA7A13">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8.</w:t>
            </w:r>
          </w:p>
        </w:tc>
        <w:tc>
          <w:tcPr>
            <w:tcW w:w="201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A1A0EA2">
            <w:pPr>
              <w:spacing w:after="0" w:line="240" w:lineRule="auto"/>
              <w:rPr>
                <w:rFonts w:ascii="Times New Roman" w:hAnsi="Times New Roman"/>
                <w:sz w:val="24"/>
                <w:szCs w:val="24"/>
              </w:rPr>
            </w:pPr>
            <w:r>
              <w:rPr>
                <w:rFonts w:ascii="Times New Roman" w:hAnsi="Times New Roman"/>
                <w:sz w:val="24"/>
                <w:szCs w:val="24"/>
              </w:rPr>
              <w:t xml:space="preserve">Vlasnički list ili Ugovor o najmu (za lovačke domove) </w:t>
            </w:r>
          </w:p>
          <w:p w14:paraId="44B02DA0">
            <w:pPr>
              <w:spacing w:after="0" w:line="240" w:lineRule="auto"/>
              <w:rPr>
                <w:rFonts w:ascii="Times New Roman" w:hAnsi="Times New Roman" w:eastAsia="Times New Roman"/>
                <w:sz w:val="24"/>
                <w:szCs w:val="24"/>
                <w:lang w:eastAsia="hr-HR"/>
              </w:rPr>
            </w:pPr>
            <w:r>
              <w:rPr>
                <w:rFonts w:ascii="Times New Roman" w:hAnsi="Times New Roman"/>
                <w:b/>
                <w:bCs/>
                <w:sz w:val="24"/>
                <w:szCs w:val="24"/>
              </w:rPr>
              <w:t>za Aktivnosti :  1.1., 1.2.</w:t>
            </w:r>
          </w:p>
        </w:tc>
        <w:tc>
          <w:tcPr>
            <w:tcW w:w="2712" w:type="pct"/>
            <w:tcBorders>
              <w:top w:val="single" w:color="auto" w:sz="4" w:space="0"/>
              <w:left w:val="single" w:color="auto" w:sz="4" w:space="0"/>
              <w:bottom w:val="single" w:color="auto" w:sz="4" w:space="0"/>
              <w:right w:val="single" w:color="000000" w:sz="4" w:space="0"/>
            </w:tcBorders>
            <w:shd w:val="clear" w:color="000000" w:fill="FFFFFF"/>
            <w:vAlign w:val="center"/>
          </w:tcPr>
          <w:p w14:paraId="35D3259F">
            <w:pPr>
              <w:spacing w:after="0" w:line="240" w:lineRule="auto"/>
              <w:rPr>
                <w:rFonts w:ascii="Times New Roman" w:hAnsi="Times New Roman"/>
                <w:sz w:val="24"/>
                <w:szCs w:val="24"/>
              </w:rPr>
            </w:pPr>
          </w:p>
          <w:p w14:paraId="00571E15">
            <w:pPr>
              <w:spacing w:after="0" w:line="240" w:lineRule="auto"/>
              <w:rPr>
                <w:rFonts w:ascii="Times New Roman" w:hAnsi="Times New Roman"/>
                <w:sz w:val="24"/>
                <w:szCs w:val="24"/>
              </w:rPr>
            </w:pPr>
            <w:r>
              <w:rPr>
                <w:rFonts w:ascii="Times New Roman" w:hAnsi="Times New Roman"/>
                <w:sz w:val="24"/>
                <w:szCs w:val="24"/>
              </w:rPr>
              <w:t>Preslika Vlasničkog lista ili Ugovora o najmu najmanje na deset (10) godina ili dokaz da je objekt izgrađen prije 1968. godine</w:t>
            </w:r>
          </w:p>
          <w:p w14:paraId="03B39CB8">
            <w:pPr>
              <w:spacing w:after="0" w:line="240" w:lineRule="auto"/>
              <w:rPr>
                <w:rFonts w:ascii="Times New Roman" w:hAnsi="Times New Roman"/>
                <w:sz w:val="24"/>
                <w:szCs w:val="24"/>
                <w:lang w:eastAsia="hr-HR"/>
              </w:rPr>
            </w:pPr>
          </w:p>
          <w:p w14:paraId="2929AC86">
            <w:pPr>
              <w:spacing w:after="0" w:line="240" w:lineRule="auto"/>
              <w:rPr>
                <w:rFonts w:ascii="Times New Roman" w:hAnsi="Times New Roman"/>
                <w:sz w:val="24"/>
                <w:szCs w:val="24"/>
                <w:lang w:eastAsia="hr-HR"/>
              </w:rPr>
            </w:pPr>
          </w:p>
        </w:tc>
      </w:tr>
      <w:tr w14:paraId="1258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275" w:type="pct"/>
            <w:shd w:val="clear" w:color="auto" w:fill="FFFFFF"/>
            <w:noWrap/>
            <w:vAlign w:val="center"/>
          </w:tcPr>
          <w:p w14:paraId="41A10193">
            <w:pPr>
              <w:spacing w:after="0" w:line="240" w:lineRule="auto"/>
              <w:rPr>
                <w:rFonts w:ascii="Times New Roman" w:hAnsi="Times New Roman" w:eastAsia="Times New Roman"/>
                <w:sz w:val="24"/>
                <w:szCs w:val="24"/>
                <w:lang w:eastAsia="hr-HR"/>
              </w:rPr>
            </w:pPr>
            <w:r>
              <w:rPr>
                <w:rFonts w:ascii="Times New Roman" w:hAnsi="Times New Roman" w:eastAsia="Times New Roman"/>
                <w:sz w:val="24"/>
                <w:szCs w:val="24"/>
                <w:lang w:eastAsia="hr-HR"/>
              </w:rPr>
              <w:t>9.</w:t>
            </w:r>
          </w:p>
        </w:tc>
        <w:tc>
          <w:tcPr>
            <w:tcW w:w="201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8C64402">
            <w:pPr>
              <w:spacing w:after="0" w:line="240" w:lineRule="auto"/>
              <w:rPr>
                <w:rFonts w:ascii="Times New Roman" w:hAnsi="Times New Roman"/>
                <w:sz w:val="24"/>
                <w:szCs w:val="24"/>
              </w:rPr>
            </w:pPr>
            <w:r>
              <w:rPr>
                <w:rFonts w:ascii="Times New Roman" w:hAnsi="Times New Roman"/>
                <w:sz w:val="24"/>
                <w:szCs w:val="24"/>
              </w:rPr>
              <w:t xml:space="preserve">Dokaz o kupnji, te zdravstvenom stanju divljači i ispuštanju divljači u lovište </w:t>
            </w:r>
            <w:r>
              <w:rPr>
                <w:rFonts w:ascii="Times New Roman" w:hAnsi="Times New Roman"/>
                <w:b/>
                <w:bCs/>
                <w:sz w:val="24"/>
                <w:szCs w:val="24"/>
              </w:rPr>
              <w:t>za Aktivnost 1.4.</w:t>
            </w:r>
          </w:p>
        </w:tc>
        <w:tc>
          <w:tcPr>
            <w:tcW w:w="2712" w:type="pct"/>
            <w:tcBorders>
              <w:top w:val="single" w:color="auto" w:sz="4" w:space="0"/>
              <w:left w:val="single" w:color="auto" w:sz="4" w:space="0"/>
              <w:bottom w:val="single" w:color="auto" w:sz="4" w:space="0"/>
              <w:right w:val="single" w:color="000000" w:sz="4" w:space="0"/>
            </w:tcBorders>
            <w:shd w:val="clear" w:color="000000" w:fill="FFFFFF"/>
            <w:vAlign w:val="center"/>
          </w:tcPr>
          <w:p w14:paraId="492BF83D">
            <w:pPr>
              <w:spacing w:after="0" w:line="240" w:lineRule="auto"/>
              <w:rPr>
                <w:rFonts w:ascii="Times New Roman" w:hAnsi="Times New Roman"/>
                <w:sz w:val="24"/>
                <w:szCs w:val="24"/>
              </w:rPr>
            </w:pPr>
          </w:p>
          <w:p w14:paraId="36DF0B23">
            <w:pPr>
              <w:spacing w:after="0" w:line="240" w:lineRule="auto"/>
              <w:rPr>
                <w:rFonts w:ascii="Times New Roman" w:hAnsi="Times New Roman"/>
                <w:sz w:val="24"/>
                <w:szCs w:val="24"/>
              </w:rPr>
            </w:pPr>
            <w:r>
              <w:rPr>
                <w:rFonts w:ascii="Times New Roman" w:hAnsi="Times New Roman"/>
                <w:sz w:val="24"/>
                <w:szCs w:val="24"/>
              </w:rPr>
              <w:t xml:space="preserve">Preslika izdanog račun i preslika dokaza o plaćanju računa za nabavku divljači, preslika veterinarskog uvjerenja o zdravstvenom stanju unesene divljači i Zapisnik o ispuštanju divljači u lovište  </w:t>
            </w:r>
          </w:p>
          <w:p w14:paraId="7A512A10">
            <w:pPr>
              <w:spacing w:after="0" w:line="240" w:lineRule="auto"/>
              <w:rPr>
                <w:rFonts w:ascii="Times New Roman" w:hAnsi="Times New Roman"/>
                <w:sz w:val="24"/>
                <w:szCs w:val="24"/>
              </w:rPr>
            </w:pPr>
          </w:p>
          <w:p w14:paraId="25BB026D">
            <w:pPr>
              <w:spacing w:after="0" w:line="240" w:lineRule="auto"/>
              <w:rPr>
                <w:rFonts w:ascii="Times New Roman" w:hAnsi="Times New Roman"/>
                <w:sz w:val="24"/>
                <w:szCs w:val="24"/>
              </w:rPr>
            </w:pPr>
          </w:p>
        </w:tc>
      </w:tr>
    </w:tbl>
    <w:p w14:paraId="757F3C32">
      <w:pPr>
        <w:spacing w:after="0" w:line="240" w:lineRule="auto"/>
        <w:jc w:val="both"/>
        <w:rPr>
          <w:rFonts w:ascii="Times New Roman" w:hAnsi="Times New Roman"/>
          <w:i/>
          <w:sz w:val="24"/>
          <w:szCs w:val="24"/>
        </w:rPr>
      </w:pPr>
      <w:r>
        <w:rPr>
          <w:rFonts w:ascii="Times New Roman" w:hAnsi="Times New Roman"/>
          <w:i/>
          <w:sz w:val="24"/>
          <w:szCs w:val="24"/>
        </w:rPr>
        <w:t>Za svu dokumentaciju koja se dostavlja u kopiji, Županija može tražiti uvid u originalnu dokumentaciju, što joj je prijavitelj dužan omogućiti.</w:t>
      </w:r>
    </w:p>
    <w:p w14:paraId="2D354832">
      <w:pPr>
        <w:pStyle w:val="39"/>
        <w:spacing w:after="0" w:line="240" w:lineRule="auto"/>
        <w:ind w:left="0"/>
        <w:jc w:val="both"/>
        <w:rPr>
          <w:rFonts w:ascii="Times New Roman" w:hAnsi="Times New Roman"/>
          <w:b/>
          <w:sz w:val="24"/>
          <w:szCs w:val="24"/>
        </w:rPr>
      </w:pPr>
    </w:p>
    <w:p w14:paraId="5A6C98A8">
      <w:pPr>
        <w:pStyle w:val="39"/>
        <w:spacing w:after="0" w:line="240" w:lineRule="auto"/>
        <w:ind w:left="0"/>
        <w:jc w:val="both"/>
        <w:rPr>
          <w:rFonts w:ascii="Times New Roman" w:hAnsi="Times New Roman"/>
          <w:b/>
          <w:sz w:val="24"/>
          <w:szCs w:val="24"/>
        </w:rPr>
      </w:pPr>
    </w:p>
    <w:p w14:paraId="701F6DB8">
      <w:pPr>
        <w:pStyle w:val="39"/>
        <w:numPr>
          <w:ilvl w:val="0"/>
          <w:numId w:val="1"/>
        </w:numPr>
        <w:spacing w:after="0" w:line="240" w:lineRule="auto"/>
        <w:ind w:left="426" w:hanging="426"/>
        <w:jc w:val="both"/>
        <w:rPr>
          <w:rFonts w:ascii="Times New Roman" w:hAnsi="Times New Roman"/>
          <w:sz w:val="24"/>
          <w:szCs w:val="24"/>
        </w:rPr>
      </w:pPr>
      <w:r>
        <w:rPr>
          <w:rFonts w:ascii="Times New Roman" w:hAnsi="Times New Roman"/>
          <w:b/>
          <w:sz w:val="24"/>
          <w:szCs w:val="24"/>
        </w:rPr>
        <w:t>OCJENA PRIJAVA, PRAVO PRIGOVORA, DONOŠENJE ODLUKE O DODJELI BESPOVRATNIH NOVČANIH POTPORA, VIDLJIVOST, UGOVARANJE I IZVJEŠTAVANJE</w:t>
      </w:r>
    </w:p>
    <w:p w14:paraId="00C11798">
      <w:pPr>
        <w:pStyle w:val="39"/>
        <w:spacing w:after="0" w:line="240" w:lineRule="auto"/>
        <w:ind w:left="0"/>
        <w:jc w:val="both"/>
        <w:rPr>
          <w:rFonts w:ascii="Times New Roman" w:hAnsi="Times New Roman"/>
          <w:sz w:val="24"/>
          <w:szCs w:val="24"/>
        </w:rPr>
      </w:pPr>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28" w:type="dxa"/>
          <w:left w:w="113" w:type="dxa"/>
          <w:bottom w:w="28" w:type="dxa"/>
          <w:right w:w="0" w:type="dxa"/>
        </w:tblCellMar>
      </w:tblPr>
      <w:tblGrid>
        <w:gridCol w:w="9899"/>
      </w:tblGrid>
      <w:tr w14:paraId="7A6BCF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28" w:type="dxa"/>
            <w:left w:w="113" w:type="dxa"/>
            <w:bottom w:w="28" w:type="dxa"/>
            <w:right w:w="0" w:type="dxa"/>
          </w:tblCellMar>
        </w:tblPrEx>
        <w:trPr>
          <w:trHeight w:val="478" w:hRule="exact"/>
        </w:trPr>
        <w:tc>
          <w:tcPr>
            <w:tcW w:w="5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0AB2DD7E">
            <w:pPr>
              <w:widowControl w:val="0"/>
              <w:suppressLineNumbers/>
              <w:shd w:val="clear" w:color="auto" w:fill="E7E6E6" w:themeFill="background2"/>
              <w:snapToGrid w:val="0"/>
              <w:rPr>
                <w:rFonts w:ascii="Times New Roman" w:hAnsi="Times New Roman"/>
                <w:b/>
                <w:bCs/>
                <w:sz w:val="24"/>
                <w:szCs w:val="24"/>
              </w:rPr>
            </w:pPr>
            <w:r>
              <w:rPr>
                <w:rFonts w:ascii="Times New Roman" w:hAnsi="Times New Roman"/>
                <w:b/>
                <w:sz w:val="24"/>
                <w:szCs w:val="24"/>
              </w:rPr>
              <w:t>Pregled prijava u odnosu na propisane formalne uvjete Javnog poziva</w:t>
            </w:r>
          </w:p>
          <w:p w14:paraId="0AE7D1E4">
            <w:pPr>
              <w:widowControl w:val="0"/>
              <w:suppressLineNumbers/>
              <w:snapToGrid w:val="0"/>
              <w:rPr>
                <w:rFonts w:ascii="Times New Roman" w:hAnsi="Times New Roman"/>
                <w:b/>
                <w:bCs/>
                <w:sz w:val="24"/>
                <w:szCs w:val="24"/>
              </w:rPr>
            </w:pPr>
            <w:r>
              <w:rPr>
                <w:rFonts w:ascii="Times New Roman" w:hAnsi="Times New Roman"/>
                <w:b/>
                <w:bCs/>
                <w:sz w:val="24"/>
                <w:szCs w:val="24"/>
              </w:rPr>
              <w:t>I. OSNOVNI PODACI O PODNOSITELJU PRIJAVE PROGRAMA</w:t>
            </w:r>
          </w:p>
        </w:tc>
      </w:tr>
    </w:tbl>
    <w:p w14:paraId="150E4951">
      <w:pPr>
        <w:spacing w:after="0" w:line="240" w:lineRule="auto"/>
        <w:jc w:val="both"/>
        <w:rPr>
          <w:rFonts w:ascii="Times New Roman" w:hAnsi="Times New Roman"/>
          <w:sz w:val="24"/>
          <w:szCs w:val="24"/>
        </w:rPr>
      </w:pPr>
    </w:p>
    <w:p w14:paraId="601F5FA5">
      <w:pPr>
        <w:spacing w:after="0" w:line="240" w:lineRule="auto"/>
        <w:jc w:val="both"/>
        <w:rPr>
          <w:rFonts w:ascii="Times New Roman" w:hAnsi="Times New Roman"/>
          <w:sz w:val="24"/>
          <w:szCs w:val="24"/>
        </w:rPr>
      </w:pPr>
      <w:r>
        <w:rPr>
          <w:rFonts w:ascii="Times New Roman" w:hAnsi="Times New Roman"/>
          <w:sz w:val="24"/>
          <w:szCs w:val="24"/>
        </w:rPr>
        <w:t>Prijava se smatra potpunom ukoliko sadrži obrazac prijave i sve obvezne priloge kako je navedeno u Javnom pozivu i ovim Uputama.</w:t>
      </w:r>
    </w:p>
    <w:p w14:paraId="2EA53820">
      <w:pPr>
        <w:spacing w:after="0" w:line="240" w:lineRule="auto"/>
        <w:jc w:val="both"/>
        <w:rPr>
          <w:rFonts w:ascii="Times New Roman" w:hAnsi="Times New Roman"/>
          <w:sz w:val="24"/>
          <w:szCs w:val="24"/>
        </w:rPr>
      </w:pPr>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28" w:type="dxa"/>
          <w:left w:w="113" w:type="dxa"/>
          <w:bottom w:w="28" w:type="dxa"/>
          <w:right w:w="0" w:type="dxa"/>
        </w:tblCellMar>
      </w:tblPr>
      <w:tblGrid>
        <w:gridCol w:w="9899"/>
      </w:tblGrid>
      <w:tr w14:paraId="6EE329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28" w:type="dxa"/>
            <w:left w:w="113" w:type="dxa"/>
            <w:bottom w:w="28" w:type="dxa"/>
            <w:right w:w="0" w:type="dxa"/>
          </w:tblCellMar>
        </w:tblPrEx>
        <w:trPr>
          <w:trHeight w:val="473" w:hRule="exact"/>
        </w:trPr>
        <w:tc>
          <w:tcPr>
            <w:tcW w:w="5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1366EEC8">
            <w:pPr>
              <w:spacing w:after="0" w:line="240" w:lineRule="auto"/>
              <w:rPr>
                <w:rFonts w:ascii="Times New Roman" w:hAnsi="Times New Roman"/>
                <w:b/>
                <w:bCs/>
                <w:sz w:val="24"/>
                <w:szCs w:val="24"/>
              </w:rPr>
            </w:pPr>
            <w:r>
              <w:rPr>
                <w:rFonts w:ascii="Times New Roman" w:hAnsi="Times New Roman"/>
                <w:b/>
                <w:bCs/>
                <w:sz w:val="24"/>
                <w:szCs w:val="24"/>
              </w:rPr>
              <w:t>Povjerenstva</w:t>
            </w:r>
          </w:p>
        </w:tc>
      </w:tr>
    </w:tbl>
    <w:p w14:paraId="1BB257BD">
      <w:pPr>
        <w:spacing w:after="0" w:line="240" w:lineRule="auto"/>
        <w:jc w:val="both"/>
        <w:rPr>
          <w:rFonts w:ascii="Times New Roman" w:hAnsi="Times New Roman"/>
          <w:bCs/>
          <w:sz w:val="24"/>
          <w:szCs w:val="24"/>
        </w:rPr>
      </w:pPr>
    </w:p>
    <w:p w14:paraId="23DCBF42">
      <w:pPr>
        <w:spacing w:after="0" w:line="240" w:lineRule="auto"/>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U svrhu provedbe Javnog poziva župan imenuje Povjerenstvo za provjeru ispunjavanja propisanih uvjeta Javnog poziva i Povjerenstvo za ocjenjivanje prijava. Oba Povjerenstva čine po 3 člana, koji potpisuju Izjave o nepristranosti i povjerljivosti.  </w:t>
      </w:r>
    </w:p>
    <w:p w14:paraId="66A21965">
      <w:pPr>
        <w:spacing w:after="0" w:line="240" w:lineRule="auto"/>
        <w:jc w:val="both"/>
        <w:rPr>
          <w:rFonts w:ascii="Times New Roman" w:hAnsi="Times New Roman"/>
          <w:bCs/>
          <w:sz w:val="24"/>
          <w:szCs w:val="24"/>
        </w:rPr>
      </w:pPr>
    </w:p>
    <w:p w14:paraId="73B53066">
      <w:pPr>
        <w:spacing w:after="0" w:line="240" w:lineRule="auto"/>
        <w:jc w:val="both"/>
        <w:rPr>
          <w:rFonts w:ascii="Times New Roman" w:hAnsi="Times New Roman" w:eastAsia="Times New Roman"/>
          <w:bCs/>
          <w:sz w:val="24"/>
          <w:szCs w:val="24"/>
          <w:lang w:eastAsia="hr-HR"/>
        </w:rPr>
      </w:pPr>
      <w:r>
        <w:rPr>
          <w:rFonts w:ascii="Times New Roman" w:hAnsi="Times New Roman" w:eastAsia="Times New Roman"/>
          <w:b/>
          <w:bCs/>
          <w:sz w:val="24"/>
          <w:szCs w:val="24"/>
          <w:lang w:eastAsia="hr-HR"/>
        </w:rPr>
        <w:t>Povjerenstvo za provjeru ispunjavanja propisanih uvjeta Javnog poziva utvrđuje:</w:t>
      </w:r>
    </w:p>
    <w:p w14:paraId="090EAACD">
      <w:pPr>
        <w:spacing w:after="0" w:line="240" w:lineRule="auto"/>
        <w:ind w:firstLine="426"/>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 je li prijava dostavljena u zadanom roku </w:t>
      </w:r>
    </w:p>
    <w:p w14:paraId="12BB23C3">
      <w:pPr>
        <w:spacing w:after="0" w:line="240" w:lineRule="auto"/>
        <w:ind w:firstLine="426"/>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 jesu li dostavljeni, potpisani i ovjereni svi obvezni obrasci </w:t>
      </w:r>
    </w:p>
    <w:p w14:paraId="3057A68A">
      <w:pPr>
        <w:spacing w:after="0" w:line="240" w:lineRule="auto"/>
        <w:ind w:firstLine="426"/>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 je li dostavljena sva obvezna popratna dokumentacija </w:t>
      </w:r>
    </w:p>
    <w:p w14:paraId="2D9CC68A">
      <w:pPr>
        <w:spacing w:after="0" w:line="240" w:lineRule="auto"/>
        <w:ind w:firstLine="426"/>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 </w:t>
      </w:r>
      <w:bookmarkStart w:id="20" w:name="_Hlk171322676"/>
      <w:r>
        <w:rPr>
          <w:rFonts w:ascii="Times New Roman" w:hAnsi="Times New Roman" w:eastAsia="Times New Roman"/>
          <w:bCs/>
          <w:sz w:val="24"/>
          <w:szCs w:val="24"/>
          <w:lang w:eastAsia="hr-HR"/>
        </w:rPr>
        <w:t xml:space="preserve">je li zatraženi iznos bespovratnih novčanih potpora u skladu s intenzitetom propisanim  </w:t>
      </w:r>
    </w:p>
    <w:p w14:paraId="72795DC4">
      <w:pPr>
        <w:spacing w:after="0" w:line="240" w:lineRule="auto"/>
        <w:ind w:firstLine="426"/>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  u Javnom pozivu i ovim Uputama za prijavitelje  </w:t>
      </w:r>
      <w:bookmarkEnd w:id="20"/>
    </w:p>
    <w:p w14:paraId="350F2CE7">
      <w:pPr>
        <w:spacing w:after="0" w:line="240" w:lineRule="auto"/>
        <w:ind w:firstLine="426"/>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 je li prijavitelj prihvatljiv sukladno ovim Uputama za prijavitelje i Javnom pozivu </w:t>
      </w:r>
    </w:p>
    <w:p w14:paraId="223A67C5">
      <w:pPr>
        <w:spacing w:after="0" w:line="240" w:lineRule="auto"/>
        <w:ind w:firstLine="426"/>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 je li lokacija provedbe projekta prihvatljiva </w:t>
      </w:r>
    </w:p>
    <w:p w14:paraId="35ABBFD7">
      <w:pPr>
        <w:spacing w:after="0" w:line="240" w:lineRule="auto"/>
        <w:ind w:firstLine="426"/>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jesu li predložene aktivnosti prihvatljive te</w:t>
      </w:r>
    </w:p>
    <w:p w14:paraId="18EB7BB1">
      <w:pPr>
        <w:spacing w:after="0" w:line="240" w:lineRule="auto"/>
        <w:ind w:firstLine="426"/>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 ispunjavanje drugih propisanih uvjeta iz ovih Uputa za prijavitelje i Javnog poziva. </w:t>
      </w:r>
    </w:p>
    <w:p w14:paraId="1CF4EDF3">
      <w:pPr>
        <w:spacing w:after="0" w:line="240" w:lineRule="auto"/>
        <w:ind w:firstLine="426"/>
        <w:jc w:val="both"/>
        <w:rPr>
          <w:rFonts w:ascii="Times New Roman" w:hAnsi="Times New Roman" w:eastAsia="Times New Roman"/>
          <w:bCs/>
          <w:sz w:val="24"/>
          <w:szCs w:val="24"/>
          <w:lang w:eastAsia="hr-HR"/>
        </w:rPr>
      </w:pPr>
    </w:p>
    <w:p w14:paraId="0D1AB0BE">
      <w:pPr>
        <w:spacing w:after="0" w:line="240" w:lineRule="auto"/>
        <w:jc w:val="both"/>
        <w:rPr>
          <w:rFonts w:ascii="Times New Roman" w:hAnsi="Times New Roman" w:eastAsia="Times New Roman"/>
          <w:bCs/>
          <w:sz w:val="24"/>
          <w:szCs w:val="24"/>
          <w:lang w:eastAsia="hr-HR"/>
        </w:rPr>
      </w:pPr>
      <w:bookmarkStart w:id="21" w:name="_Hlk171419907"/>
      <w:r>
        <w:rPr>
          <w:rFonts w:ascii="Times New Roman" w:hAnsi="Times New Roman" w:eastAsia="Times New Roman"/>
          <w:bCs/>
          <w:sz w:val="24"/>
          <w:szCs w:val="24"/>
          <w:lang w:eastAsia="hr-HR"/>
        </w:rPr>
        <w:t xml:space="preserve">Povjerenstvo za provjeru ispunjavanja propisanih uvjeta Javnog poziva </w:t>
      </w:r>
      <w:bookmarkEnd w:id="21"/>
      <w:r>
        <w:rPr>
          <w:rFonts w:ascii="Times New Roman" w:hAnsi="Times New Roman" w:eastAsia="Times New Roman"/>
          <w:bCs/>
          <w:sz w:val="24"/>
          <w:szCs w:val="24"/>
          <w:lang w:eastAsia="hr-HR"/>
        </w:rPr>
        <w:t xml:space="preserve">postupa u skladu s Poslovnikom o radu Povjerenstva kojeg donosi Povjerenstvo na svojoj 1. sjednici. O svom radu Povjerenstvo vodi Zapisnik, a sastavni dio Zapisnika su: Tablica ispunjenosti formalnih kriterija Javnog poziva i Tablica s popisom korisnika koji ne udovoljavaju uvjetima za dodjelu bespovratne novčane potpore s kratkim obrazloženjem ne odabira. Povjerenstvo za provjeru ispunjavanja </w:t>
      </w:r>
    </w:p>
    <w:p w14:paraId="65432DB6">
      <w:pPr>
        <w:spacing w:after="0" w:line="240" w:lineRule="auto"/>
        <w:jc w:val="both"/>
        <w:rPr>
          <w:rFonts w:ascii="Times New Roman" w:hAnsi="Times New Roman" w:eastAsia="Times New Roman"/>
          <w:bCs/>
          <w:sz w:val="24"/>
          <w:szCs w:val="24"/>
          <w:lang w:eastAsia="hr-HR"/>
        </w:rPr>
      </w:pPr>
    </w:p>
    <w:p w14:paraId="28CC008F">
      <w:pPr>
        <w:spacing w:after="0" w:line="240" w:lineRule="auto"/>
        <w:jc w:val="both"/>
        <w:rPr>
          <w:rFonts w:ascii="Times New Roman" w:hAnsi="Times New Roman" w:eastAsia="Times New Roman"/>
          <w:bCs/>
          <w:sz w:val="24"/>
          <w:szCs w:val="24"/>
          <w:lang w:eastAsia="hr-HR"/>
        </w:rPr>
      </w:pPr>
    </w:p>
    <w:p w14:paraId="7B59430A">
      <w:pPr>
        <w:spacing w:after="0" w:line="240" w:lineRule="auto"/>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propisanih uvjeta Javnog poziva može od prijavitelja zatražiti pojašnjenje vezano uz prijavu kao i priloženu dokumentaciju ukoliko se to pokaže potrebnim. </w:t>
      </w:r>
    </w:p>
    <w:p w14:paraId="5067DDA0">
      <w:pPr>
        <w:spacing w:after="0" w:line="240" w:lineRule="auto"/>
        <w:jc w:val="both"/>
        <w:rPr>
          <w:rFonts w:ascii="Times New Roman" w:hAnsi="Times New Roman" w:eastAsia="Times New Roman"/>
          <w:bCs/>
          <w:sz w:val="24"/>
          <w:szCs w:val="24"/>
          <w:lang w:eastAsia="hr-HR"/>
        </w:rPr>
      </w:pPr>
    </w:p>
    <w:p w14:paraId="3BAE365E">
      <w:pPr>
        <w:spacing w:after="0" w:line="240" w:lineRule="auto"/>
        <w:jc w:val="both"/>
        <w:rPr>
          <w:rFonts w:ascii="Times New Roman" w:hAnsi="Times New Roman"/>
          <w:b/>
          <w:bCs/>
          <w:sz w:val="24"/>
          <w:szCs w:val="24"/>
        </w:rPr>
      </w:pPr>
      <w:r>
        <w:rPr>
          <w:rFonts w:ascii="Times New Roman" w:hAnsi="Times New Roman"/>
          <w:b/>
          <w:bCs/>
          <w:sz w:val="24"/>
          <w:szCs w:val="24"/>
        </w:rPr>
        <w:t xml:space="preserve">Povjerenstvo za ocjenjivanje prijava obavlja sljedeće poslove: </w:t>
      </w:r>
    </w:p>
    <w:p w14:paraId="25687590">
      <w:pPr>
        <w:spacing w:after="0" w:line="240" w:lineRule="auto"/>
        <w:ind w:firstLine="708"/>
        <w:jc w:val="both"/>
        <w:rPr>
          <w:rFonts w:ascii="Times New Roman" w:hAnsi="Times New Roman"/>
          <w:bCs/>
          <w:sz w:val="24"/>
          <w:szCs w:val="24"/>
        </w:rPr>
      </w:pPr>
    </w:p>
    <w:p w14:paraId="3372DEBE">
      <w:pPr>
        <w:pStyle w:val="39"/>
        <w:numPr>
          <w:ilvl w:val="0"/>
          <w:numId w:val="8"/>
        </w:numPr>
        <w:spacing w:after="0" w:line="240" w:lineRule="auto"/>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ocjenjivanje prijava koje su ispunile propisane (administrativne) uvjete Javnog poziva sukladno kriterijima propisanim </w:t>
      </w:r>
      <w:r>
        <w:rPr>
          <w:rFonts w:ascii="Times New Roman" w:hAnsi="Times New Roman" w:eastAsia="Times New Roman"/>
          <w:sz w:val="24"/>
          <w:szCs w:val="24"/>
          <w:lang w:eastAsia="hr-HR"/>
        </w:rPr>
        <w:t>Uputama za prijavitelje</w:t>
      </w:r>
      <w:r>
        <w:rPr>
          <w:rFonts w:ascii="Times New Roman" w:hAnsi="Times New Roman" w:eastAsia="Times New Roman"/>
          <w:b/>
          <w:bCs/>
          <w:sz w:val="24"/>
          <w:szCs w:val="24"/>
          <w:lang w:eastAsia="hr-HR"/>
        </w:rPr>
        <w:t xml:space="preserve"> </w:t>
      </w:r>
      <w:r>
        <w:rPr>
          <w:rFonts w:ascii="Times New Roman" w:hAnsi="Times New Roman" w:eastAsia="Times New Roman"/>
          <w:bCs/>
          <w:sz w:val="24"/>
          <w:szCs w:val="24"/>
          <w:lang w:eastAsia="hr-HR"/>
        </w:rPr>
        <w:t xml:space="preserve">koristeći Obrazac za ocjenu prijava i </w:t>
      </w:r>
    </w:p>
    <w:p w14:paraId="58D7F929">
      <w:pPr>
        <w:pStyle w:val="39"/>
        <w:numPr>
          <w:ilvl w:val="0"/>
          <w:numId w:val="8"/>
        </w:numPr>
        <w:spacing w:after="0" w:line="240" w:lineRule="auto"/>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izrada prijedloga korisnika za odobravanje bespovratnih novčanih potpora.</w:t>
      </w:r>
    </w:p>
    <w:p w14:paraId="707E8770">
      <w:pPr>
        <w:spacing w:after="0" w:line="240" w:lineRule="auto"/>
        <w:jc w:val="both"/>
        <w:rPr>
          <w:rFonts w:ascii="Times New Roman" w:hAnsi="Times New Roman" w:eastAsia="Times New Roman"/>
          <w:bCs/>
          <w:sz w:val="24"/>
          <w:szCs w:val="24"/>
          <w:lang w:eastAsia="hr-HR"/>
        </w:rPr>
      </w:pPr>
      <w:r>
        <w:rPr>
          <w:rFonts w:ascii="Times New Roman" w:hAnsi="Times New Roman" w:eastAsia="Times New Roman"/>
          <w:bCs/>
          <w:sz w:val="24"/>
          <w:szCs w:val="24"/>
          <w:vertAlign w:val="superscript"/>
          <w:lang w:eastAsia="hr-HR"/>
        </w:rPr>
        <w:t xml:space="preserve"> </w:t>
      </w:r>
    </w:p>
    <w:p w14:paraId="411EC2F5">
      <w:pPr>
        <w:spacing w:after="0" w:line="240" w:lineRule="auto"/>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Povjerenstvo za ocjenjivanje prijava na Javni poziv postupa u skladu s Poslovnikom o radu Povjerenstva kojeg donosi Povjerenstvo na svojoj 1. sjednici. O svom radu Povjerenstvo vodi Zapisnik, a sastavni dio Zapisnika su: Tablica bodovanja po utvrđenim kriterijima i Tablica s popisom prijavitelja za koje se predlaže dodjela bespovratne novčane potpore s predloženim iznosom bespovratne novčane potpore.  </w:t>
      </w:r>
    </w:p>
    <w:p w14:paraId="542A00CD">
      <w:pPr>
        <w:spacing w:after="0" w:line="240" w:lineRule="auto"/>
        <w:ind w:firstLine="708"/>
        <w:jc w:val="both"/>
        <w:rPr>
          <w:rFonts w:ascii="Times New Roman" w:hAnsi="Times New Roman"/>
          <w:sz w:val="24"/>
          <w:szCs w:val="24"/>
        </w:rPr>
      </w:pPr>
    </w:p>
    <w:p w14:paraId="6A6DA378">
      <w:pPr>
        <w:spacing w:after="0" w:line="240" w:lineRule="auto"/>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Administrativne i stručne poslove za potrebe oba Povjerenstva obavlja Upravni odjel za poljoprivredu, ruralni razvoj, zaštitu okoliša i prirode, Odsjek za ruralni razvoj i turizam. </w:t>
      </w:r>
    </w:p>
    <w:p w14:paraId="0B251B1F">
      <w:pPr>
        <w:spacing w:after="0" w:line="240" w:lineRule="auto"/>
        <w:ind w:firstLine="708"/>
        <w:jc w:val="both"/>
        <w:rPr>
          <w:rFonts w:ascii="Times New Roman" w:hAnsi="Times New Roman"/>
          <w:sz w:val="24"/>
          <w:szCs w:val="24"/>
        </w:rPr>
      </w:pPr>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28" w:type="dxa"/>
          <w:left w:w="113" w:type="dxa"/>
          <w:bottom w:w="28" w:type="dxa"/>
          <w:right w:w="0" w:type="dxa"/>
        </w:tblCellMar>
      </w:tblPr>
      <w:tblGrid>
        <w:gridCol w:w="9899"/>
      </w:tblGrid>
      <w:tr w14:paraId="4FD355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28" w:type="dxa"/>
            <w:left w:w="113" w:type="dxa"/>
            <w:bottom w:w="28" w:type="dxa"/>
            <w:right w:w="0" w:type="dxa"/>
          </w:tblCellMar>
        </w:tblPrEx>
        <w:trPr>
          <w:trHeight w:val="473" w:hRule="exact"/>
        </w:trPr>
        <w:tc>
          <w:tcPr>
            <w:tcW w:w="5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298E36A6">
            <w:pPr>
              <w:spacing w:after="0" w:line="240" w:lineRule="auto"/>
              <w:jc w:val="both"/>
              <w:rPr>
                <w:rFonts w:ascii="Times New Roman" w:hAnsi="Times New Roman"/>
                <w:b/>
                <w:bCs/>
                <w:sz w:val="24"/>
                <w:szCs w:val="24"/>
              </w:rPr>
            </w:pPr>
            <w:r>
              <w:rPr>
                <w:rFonts w:ascii="Times New Roman" w:hAnsi="Times New Roman"/>
                <w:b/>
                <w:bCs/>
                <w:sz w:val="24"/>
                <w:szCs w:val="24"/>
              </w:rPr>
              <w:t>Pravo prigovora</w:t>
            </w:r>
          </w:p>
        </w:tc>
      </w:tr>
    </w:tbl>
    <w:p w14:paraId="79879982">
      <w:pPr>
        <w:spacing w:after="0" w:line="240" w:lineRule="auto"/>
        <w:jc w:val="both"/>
        <w:rPr>
          <w:rFonts w:ascii="Times New Roman" w:hAnsi="Times New Roman"/>
          <w:sz w:val="24"/>
          <w:szCs w:val="24"/>
        </w:rPr>
      </w:pPr>
    </w:p>
    <w:p w14:paraId="621902A4">
      <w:pPr>
        <w:spacing w:after="0" w:line="240" w:lineRule="auto"/>
        <w:jc w:val="both"/>
        <w:rPr>
          <w:rFonts w:ascii="Times New Roman" w:hAnsi="Times New Roman" w:eastAsia="Times New Roman"/>
          <w:b/>
          <w:bCs/>
          <w:sz w:val="24"/>
          <w:szCs w:val="24"/>
          <w:lang w:eastAsia="hr-HR"/>
        </w:rPr>
      </w:pPr>
      <w:r>
        <w:rPr>
          <w:rFonts w:ascii="Times New Roman" w:hAnsi="Times New Roman" w:eastAsia="Times New Roman"/>
          <w:sz w:val="24"/>
          <w:szCs w:val="24"/>
          <w:lang w:eastAsia="hr-HR"/>
        </w:rPr>
        <w:t>Nakon što Povjerenstva utvrde ispunjavanje formalnih uvjeta te utvrde bodovnu listu i prijedlog iznosa bespovratnih novčanih potpora, o tome se obavještava sve prijavitelje putem elektronske pošte, nakon čega prijavitelj ima mogućnost u roku od osam (8) dana od dana primitka obavijesti za naknadni uvid u ocjenu prijave te podnošenje prigovora pisanim putem županu koji će potom u roku od osam (8) dana od primitka prigovora donijeti Zaključak o prigovoru.</w:t>
      </w:r>
    </w:p>
    <w:p w14:paraId="74873580">
      <w:pPr>
        <w:spacing w:after="0" w:line="240" w:lineRule="auto"/>
        <w:ind w:firstLine="708"/>
        <w:jc w:val="both"/>
        <w:rPr>
          <w:rFonts w:ascii="Times New Roman" w:hAnsi="Times New Roman"/>
          <w:sz w:val="24"/>
          <w:szCs w:val="24"/>
        </w:rPr>
      </w:pPr>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28" w:type="dxa"/>
          <w:left w:w="113" w:type="dxa"/>
          <w:bottom w:w="28" w:type="dxa"/>
          <w:right w:w="0" w:type="dxa"/>
        </w:tblCellMar>
      </w:tblPr>
      <w:tblGrid>
        <w:gridCol w:w="9899"/>
      </w:tblGrid>
      <w:tr w14:paraId="20DE3E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28" w:type="dxa"/>
            <w:left w:w="113" w:type="dxa"/>
            <w:bottom w:w="28" w:type="dxa"/>
            <w:right w:w="0" w:type="dxa"/>
          </w:tblCellMar>
        </w:tblPrEx>
        <w:trPr>
          <w:trHeight w:val="413" w:hRule="exact"/>
        </w:trPr>
        <w:tc>
          <w:tcPr>
            <w:tcW w:w="5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021C6D3C">
            <w:pPr>
              <w:widowControl w:val="0"/>
              <w:suppressLineNumbers/>
              <w:snapToGrid w:val="0"/>
              <w:rPr>
                <w:rFonts w:ascii="Times New Roman" w:hAnsi="Times New Roman"/>
                <w:b/>
                <w:bCs/>
                <w:sz w:val="24"/>
                <w:szCs w:val="24"/>
              </w:rPr>
            </w:pPr>
            <w:r>
              <w:rPr>
                <w:rFonts w:ascii="Times New Roman" w:hAnsi="Times New Roman"/>
                <w:b/>
                <w:bCs/>
                <w:sz w:val="24"/>
                <w:szCs w:val="24"/>
              </w:rPr>
              <w:t>Donošenje Odluke</w:t>
            </w:r>
          </w:p>
          <w:p w14:paraId="1797427C">
            <w:pPr>
              <w:widowControl w:val="0"/>
              <w:suppressLineNumbers/>
              <w:snapToGrid w:val="0"/>
              <w:rPr>
                <w:rFonts w:ascii="Times New Roman" w:hAnsi="Times New Roman"/>
                <w:b/>
                <w:bCs/>
                <w:sz w:val="24"/>
                <w:szCs w:val="24"/>
              </w:rPr>
            </w:pPr>
            <w:r>
              <w:rPr>
                <w:rFonts w:ascii="Times New Roman" w:hAnsi="Times New Roman"/>
                <w:b/>
                <w:bCs/>
                <w:sz w:val="24"/>
                <w:szCs w:val="24"/>
              </w:rPr>
              <w:t>I. OSNOVNI PODACI O PODNOSITELJU PRIJAVE PROGRAMA</w:t>
            </w:r>
          </w:p>
        </w:tc>
      </w:tr>
    </w:tbl>
    <w:p w14:paraId="09129E36">
      <w:pPr>
        <w:spacing w:after="0" w:line="240" w:lineRule="auto"/>
        <w:jc w:val="both"/>
        <w:rPr>
          <w:rFonts w:ascii="Times New Roman" w:hAnsi="Times New Roman"/>
          <w:sz w:val="24"/>
          <w:szCs w:val="24"/>
        </w:rPr>
      </w:pPr>
    </w:p>
    <w:p w14:paraId="2A4C422E">
      <w:pPr>
        <w:spacing w:after="0" w:line="240" w:lineRule="auto"/>
        <w:jc w:val="both"/>
        <w:rPr>
          <w:rFonts w:ascii="Times New Roman" w:hAnsi="Times New Roman" w:eastAsia="Times New Roman"/>
          <w:bCs/>
          <w:sz w:val="24"/>
          <w:szCs w:val="24"/>
          <w:lang w:eastAsia="hr-HR"/>
        </w:rPr>
      </w:pPr>
      <w:r>
        <w:rPr>
          <w:rFonts w:ascii="Times New Roman" w:hAnsi="Times New Roman"/>
          <w:bCs/>
          <w:sz w:val="24"/>
          <w:szCs w:val="24"/>
        </w:rPr>
        <w:t>Odluku o dodjeli bespovratnih novčanih potpora</w:t>
      </w:r>
      <w:r>
        <w:rPr>
          <w:rFonts w:ascii="Times New Roman" w:hAnsi="Times New Roman" w:eastAsia="Times New Roman"/>
          <w:bCs/>
          <w:sz w:val="24"/>
          <w:szCs w:val="24"/>
          <w:lang w:eastAsia="hr-HR"/>
        </w:rPr>
        <w:t xml:space="preserve"> za sufinanciranje razvoja lovstva na području Sisačko-moslavačke županije za 2025. godinu donosi župan.</w:t>
      </w:r>
    </w:p>
    <w:p w14:paraId="4A9399E7">
      <w:pPr>
        <w:spacing w:after="0" w:line="240" w:lineRule="auto"/>
        <w:jc w:val="both"/>
        <w:rPr>
          <w:rFonts w:ascii="Times New Roman" w:hAnsi="Times New Roman" w:eastAsia="Times New Roman"/>
          <w:bCs/>
          <w:sz w:val="24"/>
          <w:szCs w:val="24"/>
          <w:lang w:eastAsia="hr-HR"/>
        </w:rPr>
      </w:pPr>
    </w:p>
    <w:p w14:paraId="1B841FCB">
      <w:pPr>
        <w:spacing w:after="0" w:line="240" w:lineRule="auto"/>
        <w:jc w:val="both"/>
      </w:pPr>
      <w:r>
        <w:rPr>
          <w:rFonts w:ascii="Times New Roman" w:hAnsi="Times New Roman" w:eastAsia="Times New Roman"/>
          <w:bCs/>
          <w:sz w:val="24"/>
          <w:szCs w:val="24"/>
          <w:lang w:eastAsia="hr-HR"/>
        </w:rPr>
        <w:t xml:space="preserve">Rezultati Javnog poziva objavljuju se na mrežnoj stranici Sisačko-moslavačke županije </w:t>
      </w:r>
      <w:r>
        <w:fldChar w:fldCharType="begin"/>
      </w:r>
      <w:r>
        <w:instrText xml:space="preserve"> HYPERLINK "http://www.smz.hr" </w:instrText>
      </w:r>
      <w:r>
        <w:fldChar w:fldCharType="separate"/>
      </w:r>
      <w:r>
        <w:rPr>
          <w:rStyle w:val="19"/>
          <w:rFonts w:ascii="Times New Roman" w:hAnsi="Times New Roman"/>
          <w:sz w:val="24"/>
          <w:szCs w:val="24"/>
        </w:rPr>
        <w:t>www.smz.hr</w:t>
      </w:r>
      <w:r>
        <w:rPr>
          <w:rStyle w:val="19"/>
          <w:rFonts w:ascii="Times New Roman" w:hAnsi="Times New Roman"/>
          <w:sz w:val="24"/>
          <w:szCs w:val="24"/>
        </w:rPr>
        <w:fldChar w:fldCharType="end"/>
      </w:r>
    </w:p>
    <w:p w14:paraId="36C45F4D">
      <w:pPr>
        <w:spacing w:after="0" w:line="240" w:lineRule="auto"/>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te će se prijaviteljima koji ne ostvaruju pravo na bespovratnu novčanu potporu dostaviti pisana obavijest.</w:t>
      </w:r>
    </w:p>
    <w:p w14:paraId="2688DB6D">
      <w:pPr>
        <w:spacing w:after="0" w:line="240" w:lineRule="auto"/>
        <w:jc w:val="both"/>
        <w:rPr>
          <w:rFonts w:ascii="Times New Roman" w:hAnsi="Times New Roman"/>
          <w:sz w:val="24"/>
          <w:szCs w:val="24"/>
        </w:rPr>
      </w:pPr>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28" w:type="dxa"/>
          <w:left w:w="113" w:type="dxa"/>
          <w:bottom w:w="28" w:type="dxa"/>
          <w:right w:w="0" w:type="dxa"/>
        </w:tblCellMar>
      </w:tblPr>
      <w:tblGrid>
        <w:gridCol w:w="9899"/>
      </w:tblGrid>
      <w:tr w14:paraId="134C9E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28" w:type="dxa"/>
            <w:left w:w="113" w:type="dxa"/>
            <w:bottom w:w="28" w:type="dxa"/>
            <w:right w:w="0" w:type="dxa"/>
          </w:tblCellMar>
        </w:tblPrEx>
        <w:trPr>
          <w:trHeight w:val="413" w:hRule="exact"/>
        </w:trPr>
        <w:tc>
          <w:tcPr>
            <w:tcW w:w="5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6B569EE4">
            <w:pPr>
              <w:widowControl w:val="0"/>
              <w:suppressLineNumbers/>
              <w:snapToGrid w:val="0"/>
              <w:rPr>
                <w:rFonts w:ascii="Times New Roman" w:hAnsi="Times New Roman"/>
                <w:b/>
                <w:bCs/>
                <w:sz w:val="24"/>
                <w:szCs w:val="24"/>
              </w:rPr>
            </w:pPr>
            <w:r>
              <w:rPr>
                <w:rFonts w:ascii="Times New Roman" w:hAnsi="Times New Roman" w:eastAsia="Times New Roman"/>
                <w:b/>
                <w:bCs/>
                <w:sz w:val="24"/>
                <w:szCs w:val="24"/>
                <w:lang w:eastAsia="hr-HR"/>
              </w:rPr>
              <w:t>Obveza osiguranja javnosti i vidljivosti trošenja javnih sredstava</w:t>
            </w:r>
          </w:p>
          <w:p w14:paraId="751A76CD">
            <w:pPr>
              <w:widowControl w:val="0"/>
              <w:suppressLineNumbers/>
              <w:snapToGrid w:val="0"/>
              <w:rPr>
                <w:rFonts w:ascii="Times New Roman" w:hAnsi="Times New Roman"/>
                <w:b/>
                <w:bCs/>
                <w:sz w:val="24"/>
                <w:szCs w:val="24"/>
              </w:rPr>
            </w:pPr>
            <w:r>
              <w:rPr>
                <w:rFonts w:ascii="Times New Roman" w:hAnsi="Times New Roman"/>
                <w:b/>
                <w:bCs/>
                <w:sz w:val="24"/>
                <w:szCs w:val="24"/>
              </w:rPr>
              <w:t>I. OSNOVNI PODACI O PODNOSITELJU PRIJAVE PROGRAMA</w:t>
            </w:r>
          </w:p>
        </w:tc>
      </w:tr>
    </w:tbl>
    <w:p w14:paraId="7D796E5D">
      <w:pPr>
        <w:spacing w:after="0" w:line="240" w:lineRule="auto"/>
        <w:jc w:val="both"/>
        <w:rPr>
          <w:rFonts w:ascii="Times New Roman" w:hAnsi="Times New Roman" w:eastAsia="Times New Roman"/>
          <w:bCs/>
          <w:sz w:val="24"/>
          <w:szCs w:val="24"/>
          <w:lang w:eastAsia="hr-HR"/>
        </w:rPr>
      </w:pPr>
    </w:p>
    <w:p w14:paraId="368BF38D">
      <w:pPr>
        <w:spacing w:after="0" w:line="240" w:lineRule="auto"/>
        <w:jc w:val="both"/>
        <w:rPr>
          <w:rFonts w:ascii="Times New Roman" w:hAnsi="Times New Roman" w:eastAsia="Times New Roman"/>
          <w:sz w:val="24"/>
          <w:szCs w:val="24"/>
          <w:lang w:eastAsia="hr-HR"/>
        </w:rPr>
      </w:pPr>
      <w:bookmarkStart w:id="22" w:name="_Hlk171342341"/>
      <w:r>
        <w:rPr>
          <w:rFonts w:ascii="Times New Roman" w:hAnsi="Times New Roman" w:eastAsia="Times New Roman"/>
          <w:sz w:val="24"/>
          <w:szCs w:val="24"/>
          <w:lang w:eastAsia="hr-HR"/>
        </w:rPr>
        <w:t xml:space="preserve">Korisnik bespovratne novčane potpore dužan je poduzeti potrebne mjere kako bi javnosti učinio dostupnom činjenicu da je Županija davatelj bespovratne novčane potpore za provedbu Mjere 1. (samo za Aktivnosti 1.1., 1.2. i 1.3.), a radi osiguranja javnosti i vidljivosti trošenja javnih sredstava, postavljanjem oznake vidljivosti prema predlošku koji je sastavni dio ovih Uputa za prijavitelje. </w:t>
      </w:r>
    </w:p>
    <w:bookmarkEnd w:id="22"/>
    <w:p w14:paraId="320B352D">
      <w:pPr>
        <w:spacing w:after="0" w:line="240" w:lineRule="auto"/>
        <w:jc w:val="both"/>
        <w:rPr>
          <w:rFonts w:ascii="Times New Roman" w:hAnsi="Times New Roman" w:eastAsia="Times New Roman"/>
          <w:bCs/>
          <w:sz w:val="24"/>
          <w:szCs w:val="24"/>
          <w:lang w:eastAsia="hr-HR"/>
        </w:rPr>
      </w:pPr>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28" w:type="dxa"/>
          <w:left w:w="113" w:type="dxa"/>
          <w:bottom w:w="28" w:type="dxa"/>
          <w:right w:w="0" w:type="dxa"/>
        </w:tblCellMar>
      </w:tblPr>
      <w:tblGrid>
        <w:gridCol w:w="9899"/>
      </w:tblGrid>
      <w:tr w14:paraId="17EC23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28" w:type="dxa"/>
            <w:left w:w="113" w:type="dxa"/>
            <w:bottom w:w="28" w:type="dxa"/>
            <w:right w:w="0" w:type="dxa"/>
          </w:tblCellMar>
        </w:tblPrEx>
        <w:trPr>
          <w:trHeight w:val="454" w:hRule="exact"/>
        </w:trPr>
        <w:tc>
          <w:tcPr>
            <w:tcW w:w="5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7303C7BA">
            <w:pPr>
              <w:widowControl w:val="0"/>
              <w:suppressLineNumbers/>
              <w:snapToGrid w:val="0"/>
              <w:rPr>
                <w:rFonts w:ascii="Times New Roman" w:hAnsi="Times New Roman"/>
                <w:b/>
                <w:bCs/>
                <w:sz w:val="24"/>
                <w:szCs w:val="24"/>
              </w:rPr>
            </w:pPr>
            <w:r>
              <w:rPr>
                <w:rFonts w:ascii="Times New Roman" w:hAnsi="Times New Roman"/>
                <w:b/>
                <w:bCs/>
                <w:sz w:val="24"/>
                <w:szCs w:val="24"/>
              </w:rPr>
              <w:t>Ugovaranje, izvješćivanje i nadzor</w:t>
            </w:r>
          </w:p>
          <w:p w14:paraId="7312163D">
            <w:pPr>
              <w:widowControl w:val="0"/>
              <w:suppressLineNumbers/>
              <w:snapToGrid w:val="0"/>
              <w:rPr>
                <w:rFonts w:ascii="Times New Roman" w:hAnsi="Times New Roman"/>
                <w:b/>
                <w:bCs/>
                <w:sz w:val="24"/>
                <w:szCs w:val="24"/>
              </w:rPr>
            </w:pPr>
            <w:r>
              <w:rPr>
                <w:rFonts w:ascii="Times New Roman" w:hAnsi="Times New Roman"/>
                <w:b/>
                <w:bCs/>
                <w:sz w:val="24"/>
                <w:szCs w:val="24"/>
              </w:rPr>
              <w:t>I. OSNOVNI PODACI O PODNOSITELJU PRIJAVE PROGRAMA</w:t>
            </w:r>
          </w:p>
        </w:tc>
      </w:tr>
    </w:tbl>
    <w:p w14:paraId="590BDA3D">
      <w:pPr>
        <w:spacing w:after="0" w:line="240" w:lineRule="auto"/>
        <w:jc w:val="both"/>
        <w:rPr>
          <w:rFonts w:ascii="Times New Roman" w:hAnsi="Times New Roman" w:eastAsia="Times New Roman"/>
          <w:bCs/>
          <w:sz w:val="24"/>
          <w:szCs w:val="24"/>
        </w:rPr>
      </w:pPr>
    </w:p>
    <w:p w14:paraId="5366DBA6">
      <w:pPr>
        <w:spacing w:after="0" w:line="240" w:lineRule="auto"/>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Sa svim korisnicima kojima su odobrene bespovratne novčane potpore Sisačko-moslavačka županija zaključit će Ugovor o dodjeli bespovratnih novčanih potpora za sufinanciranje razvoja lovstva na području Sisačko-moslavačke županije za 2025. godinu </w:t>
      </w:r>
      <w:r>
        <w:rPr>
          <w:rFonts w:hint="default" w:ascii="Times New Roman" w:hAnsi="Times New Roman" w:eastAsia="Times New Roman"/>
          <w:bCs/>
          <w:sz w:val="24"/>
          <w:szCs w:val="24"/>
          <w:lang w:val="en-US" w:eastAsia="hr-HR"/>
        </w:rPr>
        <w:t xml:space="preserve">(u daljnjem teksu: Ugovor) </w:t>
      </w:r>
      <w:r>
        <w:rPr>
          <w:rFonts w:ascii="Times New Roman" w:hAnsi="Times New Roman" w:eastAsia="Times New Roman"/>
          <w:bCs/>
          <w:sz w:val="24"/>
          <w:szCs w:val="24"/>
          <w:lang w:eastAsia="hr-HR"/>
        </w:rPr>
        <w:t xml:space="preserve">najkasnije u roku </w:t>
      </w:r>
    </w:p>
    <w:p w14:paraId="38E34A19">
      <w:pPr>
        <w:spacing w:after="0" w:line="240" w:lineRule="auto"/>
        <w:jc w:val="both"/>
        <w:rPr>
          <w:rFonts w:ascii="Times New Roman" w:hAnsi="Times New Roman" w:eastAsia="Times New Roman"/>
          <w:bCs/>
          <w:sz w:val="24"/>
          <w:szCs w:val="24"/>
          <w:lang w:eastAsia="hr-HR"/>
        </w:rPr>
      </w:pPr>
    </w:p>
    <w:p w14:paraId="12FB9F8A">
      <w:pPr>
        <w:spacing w:after="0" w:line="240" w:lineRule="auto"/>
        <w:jc w:val="both"/>
        <w:rPr>
          <w:rFonts w:ascii="Times New Roman" w:hAnsi="Times New Roman" w:eastAsia="Times New Roman"/>
          <w:bCs/>
          <w:sz w:val="24"/>
          <w:szCs w:val="24"/>
          <w:lang w:eastAsia="hr-HR"/>
        </w:rPr>
      </w:pPr>
    </w:p>
    <w:p w14:paraId="36C033AC">
      <w:pPr>
        <w:spacing w:after="0" w:line="240" w:lineRule="auto"/>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trideset (30) dana od dana donošenja </w:t>
      </w:r>
      <w:r>
        <w:rPr>
          <w:rFonts w:ascii="Times New Roman" w:hAnsi="Times New Roman"/>
          <w:bCs/>
          <w:sz w:val="24"/>
          <w:szCs w:val="24"/>
        </w:rPr>
        <w:t xml:space="preserve">Odluke o dodjeli bespovratne novčane potpore </w:t>
      </w:r>
      <w:r>
        <w:rPr>
          <w:rFonts w:ascii="Times New Roman" w:hAnsi="Times New Roman" w:eastAsia="Times New Roman"/>
          <w:bCs/>
          <w:sz w:val="24"/>
          <w:szCs w:val="24"/>
          <w:lang w:eastAsia="hr-HR"/>
        </w:rPr>
        <w:t>za sufinanciranje razvoja lovstva na području Sisačko-moslavačke županije za 2025. godinu.</w:t>
      </w:r>
    </w:p>
    <w:p w14:paraId="3F098589">
      <w:pPr>
        <w:spacing w:after="0" w:line="240" w:lineRule="auto"/>
        <w:jc w:val="both"/>
        <w:rPr>
          <w:rFonts w:ascii="Times New Roman" w:hAnsi="Times New Roman"/>
          <w:sz w:val="24"/>
          <w:szCs w:val="24"/>
        </w:rPr>
      </w:pPr>
    </w:p>
    <w:p w14:paraId="6B54B7C7">
      <w:pPr>
        <w:spacing w:after="0" w:line="240" w:lineRule="auto"/>
        <w:jc w:val="both"/>
        <w:rPr>
          <w:rFonts w:ascii="Times New Roman" w:hAnsi="Times New Roman"/>
          <w:sz w:val="24"/>
          <w:szCs w:val="24"/>
        </w:rPr>
      </w:pPr>
      <w:r>
        <w:rPr>
          <w:rFonts w:ascii="Times New Roman" w:hAnsi="Times New Roman"/>
          <w:sz w:val="24"/>
          <w:szCs w:val="24"/>
        </w:rPr>
        <w:t>Odobrenu bespovratnu novčanu potporu Korisnik je dužan koristiti namjenski, u skladu s važećim zakonskim propisima</w:t>
      </w:r>
      <w:r>
        <w:rPr>
          <w:rFonts w:hint="default" w:ascii="Times New Roman" w:hAnsi="Times New Roman"/>
          <w:sz w:val="24"/>
          <w:szCs w:val="24"/>
          <w:lang w:val="hr-HR"/>
        </w:rPr>
        <w:t>,</w:t>
      </w:r>
      <w:r>
        <w:rPr>
          <w:rFonts w:ascii="Times New Roman" w:hAnsi="Times New Roman"/>
          <w:sz w:val="24"/>
          <w:szCs w:val="24"/>
        </w:rPr>
        <w:t xml:space="preserve"> Odlukom</w:t>
      </w:r>
      <w:r>
        <w:rPr>
          <w:rFonts w:hint="default" w:ascii="Times New Roman" w:hAnsi="Times New Roman"/>
          <w:sz w:val="24"/>
          <w:szCs w:val="24"/>
          <w:lang w:val="hr-HR"/>
        </w:rPr>
        <w:t xml:space="preserve"> i Ugovorom</w:t>
      </w:r>
      <w:r>
        <w:rPr>
          <w:rFonts w:ascii="Times New Roman" w:hAnsi="Times New Roman"/>
          <w:sz w:val="24"/>
          <w:szCs w:val="24"/>
        </w:rPr>
        <w:t>.</w:t>
      </w:r>
    </w:p>
    <w:p w14:paraId="2C1B336C">
      <w:pPr>
        <w:spacing w:after="0" w:line="240" w:lineRule="auto"/>
        <w:jc w:val="both"/>
        <w:rPr>
          <w:rFonts w:ascii="Times New Roman" w:hAnsi="Times New Roman" w:eastAsia="Times New Roman"/>
          <w:sz w:val="24"/>
          <w:szCs w:val="24"/>
          <w:lang w:eastAsia="hr-HR"/>
        </w:rPr>
      </w:pPr>
    </w:p>
    <w:p w14:paraId="2A907FE4">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Korisnik bespovratne novčane potpore dužan je u roku od trideset (30) dana od utroška dobivenih bespovratnih novčanih potpora, a najkasnije do 31. siječnja 202</w:t>
      </w:r>
      <w:r>
        <w:rPr>
          <w:rFonts w:hint="default" w:ascii="Times New Roman" w:hAnsi="Times New Roman" w:eastAsia="Times New Roman"/>
          <w:sz w:val="24"/>
          <w:szCs w:val="24"/>
          <w:lang w:val="en-US" w:eastAsia="hr-HR"/>
        </w:rPr>
        <w:t>6</w:t>
      </w:r>
      <w:r>
        <w:rPr>
          <w:rFonts w:ascii="Times New Roman" w:hAnsi="Times New Roman" w:eastAsia="Times New Roman"/>
          <w:sz w:val="24"/>
          <w:szCs w:val="24"/>
          <w:lang w:eastAsia="hr-HR"/>
        </w:rPr>
        <w:t>. godine podnijeti Izvještaj o namjenskom korištenju bespovratne novčane potpore za sufinanciranje razvoja lovstva na području Sisačko-moslavačke županije za 202</w:t>
      </w:r>
      <w:r>
        <w:rPr>
          <w:rFonts w:hint="default" w:ascii="Times New Roman" w:hAnsi="Times New Roman" w:eastAsia="Times New Roman"/>
          <w:sz w:val="24"/>
          <w:szCs w:val="24"/>
          <w:lang w:val="en-US" w:eastAsia="hr-HR"/>
        </w:rPr>
        <w:t>5</w:t>
      </w:r>
      <w:r>
        <w:rPr>
          <w:rFonts w:ascii="Times New Roman" w:hAnsi="Times New Roman" w:eastAsia="Times New Roman"/>
          <w:sz w:val="24"/>
          <w:szCs w:val="24"/>
          <w:lang w:eastAsia="hr-HR"/>
        </w:rPr>
        <w:t xml:space="preserve">. godinu putem propisanog obrasca (Obrazac 5) uz koji prilaže dokaze o utrošku sredstava (račune, izvode o plaćanju, fotodokumentaciju i dr.) kojim izvješćuje o ostvarenim učincima utrošenih sredstava bespovratne novčane potpore. </w:t>
      </w:r>
    </w:p>
    <w:p w14:paraId="04871683">
      <w:pPr>
        <w:spacing w:after="0" w:line="240" w:lineRule="auto"/>
        <w:jc w:val="both"/>
        <w:rPr>
          <w:rFonts w:ascii="Times New Roman" w:hAnsi="Times New Roman" w:eastAsia="Times New Roman"/>
          <w:sz w:val="24"/>
          <w:szCs w:val="24"/>
          <w:lang w:eastAsia="hr-HR"/>
        </w:rPr>
      </w:pPr>
    </w:p>
    <w:p w14:paraId="4D775A68">
      <w:pPr>
        <w:spacing w:after="0" w:line="240" w:lineRule="auto"/>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Sisačko-moslavačka županija kao davatelj bespovratne novčane potpore nakon dobivanja izvještaja o namjenskom korištenju bespovratne novčane potpore provest će kontrolu utroška namjenski iskorištenih bespovratnih novčanih potpora te po potrebi obaviti kontrolu na terenu, a korisnik bespovratnih novčanih potpora dužan je isto omogućiti.</w:t>
      </w:r>
    </w:p>
    <w:p w14:paraId="76D4382C">
      <w:pPr>
        <w:spacing w:after="0" w:line="240" w:lineRule="auto"/>
        <w:jc w:val="both"/>
        <w:rPr>
          <w:rFonts w:ascii="Times New Roman" w:hAnsi="Times New Roman" w:eastAsia="Times New Roman"/>
          <w:bCs/>
          <w:sz w:val="24"/>
          <w:szCs w:val="24"/>
          <w:lang w:eastAsia="hr-HR"/>
        </w:rPr>
      </w:pPr>
    </w:p>
    <w:p w14:paraId="467BDB82">
      <w:pPr>
        <w:spacing w:after="0" w:line="240" w:lineRule="auto"/>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Nadzor provodi Upravni odjel za poljoprivredu, ruralni razvoj, zaštitu okoliša i prirode, o čemu sastavlja Zapisnik o kontroli na licu mjesta te o provedenim kontrolama dostavlja objedinjeno pisano Izvješće županu.</w:t>
      </w:r>
    </w:p>
    <w:p w14:paraId="18A0D6E2">
      <w:pPr>
        <w:spacing w:after="0" w:line="240" w:lineRule="auto"/>
        <w:jc w:val="both"/>
        <w:rPr>
          <w:rFonts w:ascii="Times New Roman" w:hAnsi="Times New Roman" w:eastAsia="Times New Roman"/>
          <w:bCs/>
          <w:sz w:val="24"/>
          <w:szCs w:val="24"/>
          <w:lang w:eastAsia="hr-HR"/>
        </w:rPr>
      </w:pPr>
    </w:p>
    <w:p w14:paraId="6D60489B">
      <w:pPr>
        <w:spacing w:after="0" w:line="240" w:lineRule="auto"/>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Ukoliko je korisnik priložio neistinitu dokumentaciju ili se utvrdi da je nenamjenski utrošio bespovratnu novčanu potporu ili nije utrošio dobivenu bespovratnu novčanu potporu ili nije podnio Izvještaj o namjenskom korištenju bespovratne novčane potpore za sufinanciranje razvoja lovstva na području Sisačko-moslavačke županije za 2025. godinu (Obrazac 5) ili nije pravdao dobivenu bespovratnu novčanu potporu u potpunosti ili nije stavio oznaku vidljivosti, istu mora vratiti u županijski proračun u roku od petnaest (15) dana od dostave pisane obavijesti uz zakonom propisane zatezne kamate. </w:t>
      </w:r>
    </w:p>
    <w:p w14:paraId="21CE5E78">
      <w:pPr>
        <w:spacing w:after="0" w:line="240" w:lineRule="auto"/>
        <w:jc w:val="both"/>
        <w:rPr>
          <w:rFonts w:ascii="Times New Roman" w:hAnsi="Times New Roman" w:eastAsia="Times New Roman"/>
          <w:bCs/>
          <w:sz w:val="24"/>
          <w:szCs w:val="24"/>
          <w:lang w:eastAsia="hr-HR"/>
        </w:rPr>
      </w:pPr>
    </w:p>
    <w:p w14:paraId="050AD453">
      <w:pPr>
        <w:spacing w:after="0" w:line="240" w:lineRule="auto"/>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U slučaju da je korisnik priložio neistinitu dokumentaciju ili je bespovratnu novčanu potporu utrošio nenamjenski ili nije utrošio bespovratnu novčanu potporu u rokovima utvrđenim ovim Javnim pozivom biti će isključen iz svih županijskih potpora u narednih pet (5) godina.</w:t>
      </w:r>
    </w:p>
    <w:p w14:paraId="0B802682">
      <w:pPr>
        <w:spacing w:after="0" w:line="240" w:lineRule="auto"/>
        <w:ind w:firstLine="708"/>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 </w:t>
      </w:r>
    </w:p>
    <w:p w14:paraId="4E51FF19">
      <w:pPr>
        <w:spacing w:after="0" w:line="240" w:lineRule="auto"/>
        <w:jc w:val="both"/>
        <w:rPr>
          <w:rFonts w:ascii="Times New Roman" w:hAnsi="Times New Roman" w:eastAsia="Times New Roman"/>
          <w:bCs/>
          <w:sz w:val="24"/>
          <w:szCs w:val="24"/>
          <w:lang w:eastAsia="hr-HR"/>
        </w:rPr>
      </w:pPr>
      <w:r>
        <w:rPr>
          <w:rFonts w:ascii="Times New Roman" w:hAnsi="Times New Roman" w:eastAsia="Times New Roman"/>
          <w:bCs/>
          <w:sz w:val="24"/>
          <w:szCs w:val="24"/>
          <w:lang w:eastAsia="hr-HR"/>
        </w:rPr>
        <w:t xml:space="preserve">U slučaju da korisnik nije podnio Izvještaj o namjenskom korištenju bespovratne novčane potpore za sufinanciranje razvoja lovstva na području Sisačko-moslavačke županije za 2025. godinu u utvrđenom roku Javnim pozivom ili nije stavio oznaku vidljivosti sukladno ovim Uputama za prijavitelje biti će isključen iz svih županijskih potpora u naredne dvije (2) godine. </w:t>
      </w:r>
    </w:p>
    <w:p w14:paraId="03A9A8A8">
      <w:pPr>
        <w:spacing w:after="0" w:line="240" w:lineRule="auto"/>
        <w:jc w:val="both"/>
        <w:rPr>
          <w:rFonts w:ascii="Times New Roman" w:hAnsi="Times New Roman" w:eastAsia="Times New Roman"/>
          <w:bCs/>
          <w:sz w:val="24"/>
          <w:szCs w:val="24"/>
          <w:lang w:eastAsia="hr-HR"/>
        </w:rPr>
      </w:pPr>
    </w:p>
    <w:p w14:paraId="3AB452ED">
      <w:pPr>
        <w:spacing w:after="0" w:line="240" w:lineRule="auto"/>
        <w:jc w:val="both"/>
        <w:rPr>
          <w:rFonts w:ascii="Times New Roman" w:hAnsi="Times New Roman" w:eastAsia="Times New Roman"/>
          <w:bCs/>
          <w:sz w:val="24"/>
          <w:szCs w:val="24"/>
          <w:lang w:eastAsia="hr-HR"/>
        </w:rPr>
      </w:pPr>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28" w:type="dxa"/>
          <w:left w:w="113" w:type="dxa"/>
          <w:bottom w:w="28" w:type="dxa"/>
          <w:right w:w="0" w:type="dxa"/>
        </w:tblCellMar>
      </w:tblPr>
      <w:tblGrid>
        <w:gridCol w:w="9899"/>
      </w:tblGrid>
      <w:tr w14:paraId="328AF5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28" w:type="dxa"/>
            <w:left w:w="113" w:type="dxa"/>
            <w:bottom w:w="28" w:type="dxa"/>
            <w:right w:w="0" w:type="dxa"/>
          </w:tblCellMar>
        </w:tblPrEx>
        <w:trPr>
          <w:trHeight w:val="418" w:hRule="exact"/>
        </w:trPr>
        <w:tc>
          <w:tcPr>
            <w:tcW w:w="5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32DE16B4">
            <w:pPr>
              <w:widowControl w:val="0"/>
              <w:suppressLineNumbers/>
              <w:shd w:val="clear" w:color="auto" w:fill="E7E6E6" w:themeFill="background2"/>
              <w:snapToGrid w:val="0"/>
              <w:rPr>
                <w:rFonts w:ascii="Times New Roman" w:hAnsi="Times New Roman"/>
                <w:b/>
                <w:bCs/>
                <w:sz w:val="24"/>
                <w:szCs w:val="24"/>
              </w:rPr>
            </w:pPr>
            <w:r>
              <w:rPr>
                <w:rFonts w:ascii="Times New Roman" w:hAnsi="Times New Roman"/>
                <w:b/>
                <w:bCs/>
                <w:sz w:val="24"/>
                <w:szCs w:val="24"/>
              </w:rPr>
              <w:t>Informacije</w:t>
            </w:r>
          </w:p>
          <w:p w14:paraId="0D19D19C">
            <w:pPr>
              <w:widowControl w:val="0"/>
              <w:suppressLineNumbers/>
              <w:snapToGrid w:val="0"/>
              <w:rPr>
                <w:rFonts w:ascii="Times New Roman" w:hAnsi="Times New Roman"/>
                <w:b/>
                <w:bCs/>
                <w:sz w:val="24"/>
                <w:szCs w:val="24"/>
              </w:rPr>
            </w:pPr>
            <w:r>
              <w:rPr>
                <w:rFonts w:ascii="Times New Roman" w:hAnsi="Times New Roman"/>
                <w:b/>
                <w:bCs/>
                <w:sz w:val="24"/>
                <w:szCs w:val="24"/>
              </w:rPr>
              <w:t>I. OSNOVNI PODACI O PODNOSITELJU PRIJAVE PROGRAMA</w:t>
            </w:r>
          </w:p>
        </w:tc>
      </w:tr>
    </w:tbl>
    <w:p w14:paraId="17F774A7">
      <w:pPr>
        <w:spacing w:after="0" w:line="240" w:lineRule="auto"/>
        <w:jc w:val="both"/>
        <w:rPr>
          <w:rFonts w:ascii="Times New Roman" w:hAnsi="Times New Roman" w:eastAsia="Times New Roman"/>
          <w:bCs/>
          <w:sz w:val="24"/>
          <w:szCs w:val="24"/>
          <w:lang w:eastAsia="hr-HR"/>
        </w:rPr>
      </w:pPr>
    </w:p>
    <w:p w14:paraId="0B42FAC5">
      <w:pPr>
        <w:spacing w:after="0" w:line="240" w:lineRule="auto"/>
        <w:jc w:val="both"/>
        <w:rPr>
          <w:rFonts w:ascii="Times New Roman" w:hAnsi="Times New Roman" w:eastAsia="Times New Roman"/>
          <w:bCs/>
          <w:color w:val="000000"/>
          <w:sz w:val="24"/>
          <w:szCs w:val="24"/>
          <w:u w:val="single"/>
          <w:lang w:eastAsia="hr-HR"/>
        </w:rPr>
      </w:pPr>
      <w:r>
        <w:rPr>
          <w:rFonts w:ascii="Times New Roman" w:hAnsi="Times New Roman" w:eastAsia="Times New Roman"/>
          <w:bCs/>
          <w:sz w:val="24"/>
          <w:szCs w:val="24"/>
          <w:lang w:eastAsia="hr-HR"/>
        </w:rPr>
        <w:t xml:space="preserve">Za sve informacije vezane uz Javni poziv prijavitelji mogu postavljati pisane upite na e-mail adresu </w:t>
      </w:r>
      <w:r>
        <w:fldChar w:fldCharType="begin"/>
      </w:r>
      <w:r>
        <w:instrText xml:space="preserve"> HYPERLINK "mailto:lovstvo@smz.hr" </w:instrText>
      </w:r>
      <w:r>
        <w:fldChar w:fldCharType="separate"/>
      </w:r>
      <w:r>
        <w:rPr>
          <w:rStyle w:val="19"/>
          <w:rFonts w:ascii="Times New Roman" w:hAnsi="Times New Roman" w:eastAsia="Times New Roman"/>
          <w:bCs/>
          <w:sz w:val="24"/>
          <w:szCs w:val="24"/>
          <w:lang w:eastAsia="hr-HR"/>
        </w:rPr>
        <w:t>lovstvo@smz.hr</w:t>
      </w:r>
      <w:r>
        <w:rPr>
          <w:rStyle w:val="19"/>
          <w:rFonts w:ascii="Times New Roman" w:hAnsi="Times New Roman" w:eastAsia="Times New Roman"/>
          <w:bCs/>
          <w:sz w:val="24"/>
          <w:szCs w:val="24"/>
          <w:lang w:eastAsia="hr-HR"/>
        </w:rPr>
        <w:fldChar w:fldCharType="end"/>
      </w:r>
      <w:r>
        <w:rPr>
          <w:rFonts w:ascii="Times New Roman" w:hAnsi="Times New Roman" w:eastAsia="Times New Roman"/>
          <w:bCs/>
          <w:color w:val="000000"/>
          <w:sz w:val="24"/>
          <w:szCs w:val="24"/>
          <w:u w:val="single"/>
          <w:lang w:eastAsia="hr-HR"/>
        </w:rPr>
        <w:t xml:space="preserve"> </w:t>
      </w:r>
      <w:r>
        <w:rPr>
          <w:rFonts w:ascii="Times New Roman" w:hAnsi="Times New Roman" w:eastAsia="Times New Roman"/>
          <w:bCs/>
          <w:sz w:val="24"/>
          <w:szCs w:val="24"/>
          <w:lang w:eastAsia="hr-HR"/>
        </w:rPr>
        <w:t xml:space="preserve">od dana objave Javnog poziva pa do 26. rujna 2025. godine do 12,00 sati. </w:t>
      </w:r>
    </w:p>
    <w:p w14:paraId="0CDADE17">
      <w:pPr>
        <w:spacing w:after="0" w:line="240" w:lineRule="auto"/>
        <w:jc w:val="both"/>
        <w:rPr>
          <w:rFonts w:hint="default" w:ascii="Times New Roman" w:hAnsi="Times New Roman"/>
          <w:sz w:val="24"/>
          <w:szCs w:val="24"/>
          <w:lang w:val="en-US"/>
        </w:rPr>
      </w:pPr>
      <w:r>
        <w:rPr>
          <w:rFonts w:ascii="Times New Roman" w:hAnsi="Times New Roman" w:eastAsia="Times New Roman"/>
          <w:bCs/>
          <w:sz w:val="24"/>
          <w:szCs w:val="24"/>
          <w:lang w:eastAsia="hr-HR"/>
        </w:rPr>
        <w:t xml:space="preserve">Na mrežnim stranicama Sisačko-moslavačke županije </w:t>
      </w:r>
      <w:r>
        <w:fldChar w:fldCharType="begin"/>
      </w:r>
      <w:r>
        <w:instrText xml:space="preserve"> HYPERLINK "http://www.smz.hr" </w:instrText>
      </w:r>
      <w:r>
        <w:fldChar w:fldCharType="separate"/>
      </w:r>
      <w:r>
        <w:rPr>
          <w:rStyle w:val="19"/>
          <w:rFonts w:ascii="Times New Roman" w:hAnsi="Times New Roman"/>
          <w:sz w:val="24"/>
          <w:szCs w:val="24"/>
        </w:rPr>
        <w:t>www.smz.hr</w:t>
      </w:r>
      <w:r>
        <w:rPr>
          <w:rStyle w:val="19"/>
          <w:rFonts w:ascii="Times New Roman" w:hAnsi="Times New Roman"/>
          <w:sz w:val="24"/>
          <w:szCs w:val="24"/>
        </w:rPr>
        <w:fldChar w:fldCharType="end"/>
      </w:r>
      <w:r>
        <w:t xml:space="preserve"> </w:t>
      </w:r>
      <w:r>
        <w:rPr>
          <w:rFonts w:ascii="Times New Roman" w:hAnsi="Times New Roman" w:eastAsia="Times New Roman"/>
          <w:bCs/>
          <w:sz w:val="24"/>
          <w:szCs w:val="24"/>
          <w:lang w:eastAsia="hr-HR"/>
        </w:rPr>
        <w:t>biti će objavljeni odgovori na postavljena pitanja</w:t>
      </w:r>
      <w:r>
        <w:rPr>
          <w:rFonts w:hint="default" w:ascii="Times New Roman" w:hAnsi="Times New Roman" w:eastAsia="Times New Roman"/>
          <w:bCs/>
          <w:sz w:val="24"/>
          <w:szCs w:val="24"/>
          <w:lang w:val="en-US" w:eastAsia="hr-HR"/>
        </w:rPr>
        <w:t>.</w:t>
      </w:r>
    </w:p>
    <w:p w14:paraId="232174C1">
      <w:pPr>
        <w:spacing w:after="0" w:line="240" w:lineRule="auto"/>
        <w:jc w:val="both"/>
        <w:rPr>
          <w:rFonts w:ascii="Times New Roman" w:hAnsi="Times New Roman"/>
          <w:sz w:val="24"/>
          <w:szCs w:val="24"/>
        </w:rPr>
      </w:pPr>
    </w:p>
    <w:p w14:paraId="7DACC807">
      <w:pPr>
        <w:spacing w:after="0" w:line="240" w:lineRule="auto"/>
        <w:jc w:val="both"/>
        <w:rPr>
          <w:rFonts w:ascii="Times New Roman" w:hAnsi="Times New Roman"/>
          <w:sz w:val="24"/>
          <w:szCs w:val="24"/>
        </w:rPr>
      </w:pPr>
      <w:bookmarkStart w:id="23" w:name="_GoBack"/>
      <w:bookmarkEnd w:id="23"/>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28" w:type="dxa"/>
          <w:left w:w="113" w:type="dxa"/>
          <w:bottom w:w="28" w:type="dxa"/>
          <w:right w:w="0" w:type="dxa"/>
        </w:tblCellMar>
      </w:tblPr>
      <w:tblGrid>
        <w:gridCol w:w="9899"/>
      </w:tblGrid>
      <w:tr w14:paraId="280884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28" w:type="dxa"/>
            <w:left w:w="113" w:type="dxa"/>
            <w:bottom w:w="28" w:type="dxa"/>
            <w:right w:w="0" w:type="dxa"/>
          </w:tblCellMar>
        </w:tblPrEx>
        <w:trPr>
          <w:trHeight w:val="418" w:hRule="exact"/>
        </w:trPr>
        <w:tc>
          <w:tcPr>
            <w:tcW w:w="5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0C6727C8">
            <w:pPr>
              <w:widowControl w:val="0"/>
              <w:suppressLineNumbers/>
              <w:snapToGrid w:val="0"/>
              <w:rPr>
                <w:rFonts w:ascii="Times New Roman" w:hAnsi="Times New Roman"/>
                <w:b/>
                <w:bCs/>
                <w:sz w:val="24"/>
                <w:szCs w:val="24"/>
              </w:rPr>
            </w:pPr>
            <w:r>
              <w:rPr>
                <w:rFonts w:ascii="Times New Roman" w:hAnsi="Times New Roman"/>
                <w:b/>
                <w:bCs/>
                <w:sz w:val="24"/>
                <w:szCs w:val="24"/>
              </w:rPr>
              <w:t>Oznaka vidljivosti</w:t>
            </w:r>
          </w:p>
          <w:p w14:paraId="6C6DECDC">
            <w:pPr>
              <w:widowControl w:val="0"/>
              <w:suppressLineNumbers/>
              <w:shd w:val="clear" w:color="auto" w:fill="E7E6E6" w:themeFill="background2"/>
              <w:snapToGrid w:val="0"/>
              <w:rPr>
                <w:rFonts w:ascii="Times New Roman" w:hAnsi="Times New Roman"/>
                <w:b/>
                <w:bCs/>
                <w:sz w:val="24"/>
                <w:szCs w:val="24"/>
              </w:rPr>
            </w:pPr>
          </w:p>
          <w:p w14:paraId="50249F85">
            <w:pPr>
              <w:widowControl w:val="0"/>
              <w:suppressLineNumbers/>
              <w:snapToGrid w:val="0"/>
              <w:rPr>
                <w:rFonts w:ascii="Times New Roman" w:hAnsi="Times New Roman"/>
                <w:b/>
                <w:bCs/>
                <w:sz w:val="24"/>
                <w:szCs w:val="24"/>
              </w:rPr>
            </w:pPr>
            <w:r>
              <w:rPr>
                <w:rFonts w:ascii="Times New Roman" w:hAnsi="Times New Roman"/>
                <w:b/>
                <w:bCs/>
                <w:sz w:val="24"/>
                <w:szCs w:val="24"/>
              </w:rPr>
              <w:t>I. OSNOVNI PODACI O PODNOSITELJU PRIJAVE PROGRAMA</w:t>
            </w:r>
          </w:p>
        </w:tc>
      </w:tr>
    </w:tbl>
    <w:p w14:paraId="69DDDA10">
      <w:pPr>
        <w:spacing w:after="0" w:line="240" w:lineRule="auto"/>
        <w:rPr>
          <w:rFonts w:ascii="Times New Roman" w:hAnsi="Times New Roman"/>
          <w:sz w:val="24"/>
          <w:szCs w:val="24"/>
        </w:rPr>
      </w:pPr>
    </w:p>
    <w:p w14:paraId="7F039876">
      <w:pPr>
        <w:spacing w:after="0" w:line="240" w:lineRule="auto"/>
        <w:jc w:val="both"/>
        <w:rPr>
          <w:rFonts w:ascii="Times New Roman" w:hAnsi="Times New Roman"/>
          <w:sz w:val="24"/>
          <w:szCs w:val="24"/>
        </w:rPr>
      </w:pPr>
      <w:r>
        <w:rPr>
          <w:rFonts w:ascii="Times New Roman" w:hAnsi="Times New Roman"/>
          <w:sz w:val="24"/>
          <w:szCs w:val="24"/>
        </w:rPr>
        <w:t xml:space="preserve">Korisnici bespovratnih novčanih potpora </w:t>
      </w:r>
      <w:r>
        <w:rPr>
          <w:rFonts w:ascii="Times New Roman" w:hAnsi="Times New Roman" w:eastAsia="Times New Roman"/>
          <w:sz w:val="24"/>
          <w:szCs w:val="24"/>
          <w:lang w:eastAsia="hr-HR"/>
        </w:rPr>
        <w:t>za provedu Mjere 1. (samo za Aktivnosti 1.1., 1.2. i 1.3.)</w:t>
      </w:r>
      <w:r>
        <w:rPr>
          <w:rFonts w:ascii="Times New Roman" w:hAnsi="Times New Roman"/>
          <w:sz w:val="24"/>
          <w:szCs w:val="24"/>
        </w:rPr>
        <w:t xml:space="preserve"> dužni su postaviti oznaku vidljivosti na objekt ili predmet za koji je dodijeljena bespovratna novčana potpora prema sljedećem predlošku: </w:t>
      </w:r>
    </w:p>
    <w:p w14:paraId="47FCE259">
      <w:pPr>
        <w:spacing w:after="0" w:line="240" w:lineRule="auto"/>
        <w:rPr>
          <w:rFonts w:ascii="Times New Roman" w:hAnsi="Times New Roman"/>
          <w:sz w:val="24"/>
          <w:szCs w:val="24"/>
        </w:rPr>
      </w:pPr>
    </w:p>
    <w:tbl>
      <w:tblPr>
        <w:tblStyle w:val="13"/>
        <w:tblW w:w="944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14:paraId="0B40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44" w:type="dxa"/>
          </w:tcPr>
          <w:p w14:paraId="4B84575C">
            <w:pPr>
              <w:ind w:left="265"/>
            </w:pPr>
          </w:p>
          <w:p w14:paraId="2F1834E5">
            <w:pPr>
              <w:ind w:left="265"/>
              <w:jc w:val="center"/>
              <w:rPr>
                <w:lang w:eastAsia="hr-HR"/>
              </w:rPr>
            </w:pPr>
            <w:r>
              <w:rPr>
                <w:lang w:eastAsia="hr-HR"/>
              </w:rPr>
              <w:drawing>
                <wp:inline distT="0" distB="0" distL="0" distR="0">
                  <wp:extent cx="1188720" cy="118872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inline>
              </w:drawing>
            </w:r>
          </w:p>
          <w:p w14:paraId="4EB2122D">
            <w:pPr>
              <w:spacing w:after="0"/>
              <w:ind w:left="265"/>
              <w:jc w:val="center"/>
              <w:rPr>
                <w:rFonts w:ascii="Times New Roman" w:hAnsi="Times New Roman"/>
                <w:b/>
                <w:sz w:val="28"/>
                <w:szCs w:val="28"/>
                <w:lang w:eastAsia="hr-HR"/>
              </w:rPr>
            </w:pPr>
            <w:r>
              <w:rPr>
                <w:rFonts w:ascii="Times New Roman" w:hAnsi="Times New Roman"/>
                <w:b/>
                <w:sz w:val="28"/>
                <w:szCs w:val="28"/>
                <w:lang w:eastAsia="hr-HR"/>
              </w:rPr>
              <w:t>SUFINANCIRANO SREDSTVIMA</w:t>
            </w:r>
          </w:p>
          <w:p w14:paraId="20703226">
            <w:pPr>
              <w:spacing w:after="0"/>
              <w:ind w:left="265"/>
              <w:jc w:val="center"/>
            </w:pPr>
            <w:r>
              <w:rPr>
                <w:rFonts w:ascii="Times New Roman" w:hAnsi="Times New Roman"/>
                <w:b/>
                <w:sz w:val="28"/>
                <w:szCs w:val="28"/>
                <w:lang w:eastAsia="hr-HR"/>
              </w:rPr>
              <w:t>SISAČKO-MOSLAVAČKE ŽUPANIJE ZA 2025. GODINU</w:t>
            </w:r>
          </w:p>
        </w:tc>
      </w:tr>
    </w:tbl>
    <w:p w14:paraId="4982EF46">
      <w:pPr>
        <w:spacing w:after="0" w:line="240" w:lineRule="auto"/>
        <w:jc w:val="both"/>
        <w:rPr>
          <w:rFonts w:eastAsia="Times New Roman"/>
        </w:rPr>
      </w:pPr>
    </w:p>
    <w:p w14:paraId="3F2221BA">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b/>
          <w:bCs/>
          <w:sz w:val="24"/>
          <w:szCs w:val="24"/>
          <w:lang w:eastAsia="hr-HR"/>
        </w:rPr>
        <w:t xml:space="preserve">         Navedena oznaka vidljivosti mora biti napravljena od materijala duže trajnosti. </w:t>
      </w:r>
    </w:p>
    <w:sectPr>
      <w:footerReference r:id="rId5" w:type="default"/>
      <w:pgSz w:w="11906" w:h="16838"/>
      <w:pgMar w:top="1276" w:right="991" w:bottom="1276" w:left="1134" w:header="708" w:footer="32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Segoe UI">
    <w:panose1 w:val="020B0502040204020203"/>
    <w:charset w:val="EE"/>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Symbol">
    <w:panose1 w:val="05050102010706020507"/>
    <w:charset w:val="02"/>
    <w:family w:val="roman"/>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1249059"/>
    </w:sdtPr>
    <w:sdtContent>
      <w:p w14:paraId="6926D41C">
        <w:pPr>
          <w:pStyle w:val="17"/>
          <w:jc w:val="right"/>
        </w:pPr>
        <w:r>
          <w:fldChar w:fldCharType="begin"/>
        </w:r>
        <w:r>
          <w:instrText xml:space="preserve">PAGE   \* MERGEFORMAT</w:instrText>
        </w:r>
        <w:r>
          <w:fldChar w:fldCharType="separate"/>
        </w:r>
        <w:r>
          <w:t>2</w:t>
        </w:r>
        <w:r>
          <w:fldChar w:fldCharType="end"/>
        </w:r>
      </w:p>
    </w:sdtContent>
  </w:sdt>
  <w:p w14:paraId="11A42D50">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87C66"/>
    <w:multiLevelType w:val="multilevel"/>
    <w:tmpl w:val="0A187C66"/>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
    <w:nsid w:val="2DEE3B14"/>
    <w:multiLevelType w:val="multilevel"/>
    <w:tmpl w:val="2DEE3B14"/>
    <w:lvl w:ilvl="0" w:tentative="0">
      <w:start w:val="1"/>
      <w:numFmt w:val="decimal"/>
      <w:lvlText w:val="%1."/>
      <w:lvlJc w:val="left"/>
      <w:pPr>
        <w:ind w:left="786" w:hanging="360"/>
      </w:pPr>
      <w:rPr>
        <w:rFonts w:hint="default"/>
        <w:b/>
        <w:bCs/>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83452C7"/>
    <w:multiLevelType w:val="multilevel"/>
    <w:tmpl w:val="383452C7"/>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3">
    <w:nsid w:val="507F59DA"/>
    <w:multiLevelType w:val="multilevel"/>
    <w:tmpl w:val="507F59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C892DF1"/>
    <w:multiLevelType w:val="multilevel"/>
    <w:tmpl w:val="5C892DF1"/>
    <w:lvl w:ilvl="0" w:tentative="0">
      <w:start w:val="1"/>
      <w:numFmt w:val="upperLetter"/>
      <w:lvlText w:val="%1)"/>
      <w:lvlJc w:val="left"/>
      <w:pPr>
        <w:ind w:left="720" w:hanging="360"/>
      </w:pPr>
      <w:rPr>
        <w:rFonts w:hint="default" w:eastAsia="Times New Roman"/>
        <w:b/>
        <w:bCs/>
        <w:color w:val="231F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B8F79B5"/>
    <w:multiLevelType w:val="multilevel"/>
    <w:tmpl w:val="7B8F79B5"/>
    <w:lvl w:ilvl="0" w:tentative="0">
      <w:start w:val="1"/>
      <w:numFmt w:val="decimal"/>
      <w:lvlText w:val="%1."/>
      <w:lvlJc w:val="left"/>
      <w:pPr>
        <w:ind w:left="420" w:hanging="420"/>
      </w:pPr>
    </w:lvl>
    <w:lvl w:ilvl="1" w:tentative="0">
      <w:start w:val="1"/>
      <w:numFmt w:val="decimal"/>
      <w:lvlText w:val="%1.%2."/>
      <w:lvlJc w:val="left"/>
      <w:pPr>
        <w:ind w:left="1129" w:hanging="420"/>
      </w:pPr>
    </w:lvl>
    <w:lvl w:ilvl="2" w:tentative="0">
      <w:start w:val="1"/>
      <w:numFmt w:val="decimal"/>
      <w:lvlText w:val="%1.%2.%3."/>
      <w:lvlJc w:val="left"/>
      <w:pPr>
        <w:ind w:left="2138" w:hanging="720"/>
      </w:pPr>
    </w:lvl>
    <w:lvl w:ilvl="3" w:tentative="0">
      <w:start w:val="1"/>
      <w:numFmt w:val="decimal"/>
      <w:lvlText w:val="%1.%2.%3.%4."/>
      <w:lvlJc w:val="left"/>
      <w:pPr>
        <w:ind w:left="2847" w:hanging="720"/>
      </w:pPr>
    </w:lvl>
    <w:lvl w:ilvl="4" w:tentative="0">
      <w:start w:val="1"/>
      <w:numFmt w:val="decimal"/>
      <w:lvlText w:val="%1.%2.%3.%4.%5."/>
      <w:lvlJc w:val="left"/>
      <w:pPr>
        <w:ind w:left="3916" w:hanging="1080"/>
      </w:pPr>
    </w:lvl>
    <w:lvl w:ilvl="5" w:tentative="0">
      <w:start w:val="1"/>
      <w:numFmt w:val="decimal"/>
      <w:lvlText w:val="%1.%2.%3.%4.%5.%6."/>
      <w:lvlJc w:val="left"/>
      <w:pPr>
        <w:ind w:left="4625" w:hanging="1080"/>
      </w:pPr>
    </w:lvl>
    <w:lvl w:ilvl="6" w:tentative="0">
      <w:start w:val="1"/>
      <w:numFmt w:val="decimal"/>
      <w:lvlText w:val="%1.%2.%3.%4.%5.%6.%7."/>
      <w:lvlJc w:val="left"/>
      <w:pPr>
        <w:ind w:left="5694" w:hanging="1440"/>
      </w:pPr>
    </w:lvl>
    <w:lvl w:ilvl="7" w:tentative="0">
      <w:start w:val="1"/>
      <w:numFmt w:val="decimal"/>
      <w:lvlText w:val="%1.%2.%3.%4.%5.%6.%7.%8."/>
      <w:lvlJc w:val="left"/>
      <w:pPr>
        <w:ind w:left="6403" w:hanging="1440"/>
      </w:pPr>
    </w:lvl>
    <w:lvl w:ilvl="8" w:tentative="0">
      <w:start w:val="1"/>
      <w:numFmt w:val="decimal"/>
      <w:lvlText w:val="%1.%2.%3.%4.%5.%6.%7.%8.%9."/>
      <w:lvlJc w:val="left"/>
      <w:pPr>
        <w:ind w:left="7472" w:hanging="1800"/>
      </w:pPr>
    </w:lvl>
  </w:abstractNum>
  <w:abstractNum w:abstractNumId="6">
    <w:nsid w:val="7C1E537E"/>
    <w:multiLevelType w:val="multilevel"/>
    <w:tmpl w:val="7C1E537E"/>
    <w:lvl w:ilvl="0" w:tentative="0">
      <w:start w:val="8"/>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2E0"/>
    <w:rsid w:val="00003867"/>
    <w:rsid w:val="00003D0F"/>
    <w:rsid w:val="00003E63"/>
    <w:rsid w:val="0000496C"/>
    <w:rsid w:val="00010C04"/>
    <w:rsid w:val="00012068"/>
    <w:rsid w:val="000201C8"/>
    <w:rsid w:val="00027697"/>
    <w:rsid w:val="00030861"/>
    <w:rsid w:val="0003349A"/>
    <w:rsid w:val="000442C2"/>
    <w:rsid w:val="000452E0"/>
    <w:rsid w:val="00053EEA"/>
    <w:rsid w:val="000556CA"/>
    <w:rsid w:val="00056D80"/>
    <w:rsid w:val="00057290"/>
    <w:rsid w:val="00062E8E"/>
    <w:rsid w:val="00071336"/>
    <w:rsid w:val="00073298"/>
    <w:rsid w:val="00080A59"/>
    <w:rsid w:val="00084510"/>
    <w:rsid w:val="0008621C"/>
    <w:rsid w:val="000874B9"/>
    <w:rsid w:val="000909DD"/>
    <w:rsid w:val="000912B3"/>
    <w:rsid w:val="000912CF"/>
    <w:rsid w:val="00092BDA"/>
    <w:rsid w:val="000949B5"/>
    <w:rsid w:val="00094F1C"/>
    <w:rsid w:val="000A036C"/>
    <w:rsid w:val="000A0B7C"/>
    <w:rsid w:val="000A3E39"/>
    <w:rsid w:val="000A441A"/>
    <w:rsid w:val="000B1E40"/>
    <w:rsid w:val="000B49AC"/>
    <w:rsid w:val="000B572A"/>
    <w:rsid w:val="000B73FC"/>
    <w:rsid w:val="000C4230"/>
    <w:rsid w:val="000C5E4C"/>
    <w:rsid w:val="000D1CC3"/>
    <w:rsid w:val="000D2D2E"/>
    <w:rsid w:val="000D4475"/>
    <w:rsid w:val="000D657A"/>
    <w:rsid w:val="000D6764"/>
    <w:rsid w:val="000E04FE"/>
    <w:rsid w:val="000E11F8"/>
    <w:rsid w:val="000E3EC7"/>
    <w:rsid w:val="000F1103"/>
    <w:rsid w:val="000F1AD0"/>
    <w:rsid w:val="000F49CA"/>
    <w:rsid w:val="000F4F7B"/>
    <w:rsid w:val="000F5C78"/>
    <w:rsid w:val="000F5E4D"/>
    <w:rsid w:val="000F7A77"/>
    <w:rsid w:val="00105F07"/>
    <w:rsid w:val="0011779B"/>
    <w:rsid w:val="001256FC"/>
    <w:rsid w:val="00130E10"/>
    <w:rsid w:val="00135A0E"/>
    <w:rsid w:val="00135F1A"/>
    <w:rsid w:val="00136FA0"/>
    <w:rsid w:val="00141AAB"/>
    <w:rsid w:val="00142BF8"/>
    <w:rsid w:val="0015578C"/>
    <w:rsid w:val="00157728"/>
    <w:rsid w:val="001607FB"/>
    <w:rsid w:val="001638DD"/>
    <w:rsid w:val="001732C6"/>
    <w:rsid w:val="00176C5E"/>
    <w:rsid w:val="001806FB"/>
    <w:rsid w:val="00183F10"/>
    <w:rsid w:val="00186577"/>
    <w:rsid w:val="00190006"/>
    <w:rsid w:val="00192654"/>
    <w:rsid w:val="001A3B3C"/>
    <w:rsid w:val="001A639E"/>
    <w:rsid w:val="001A7424"/>
    <w:rsid w:val="001B1CDB"/>
    <w:rsid w:val="001B3B23"/>
    <w:rsid w:val="001B722A"/>
    <w:rsid w:val="001C26FD"/>
    <w:rsid w:val="001C3E7A"/>
    <w:rsid w:val="001C7FC8"/>
    <w:rsid w:val="001D5437"/>
    <w:rsid w:val="001D60BA"/>
    <w:rsid w:val="001E0A90"/>
    <w:rsid w:val="001E51BC"/>
    <w:rsid w:val="0020416B"/>
    <w:rsid w:val="00205444"/>
    <w:rsid w:val="00212C31"/>
    <w:rsid w:val="00224CAE"/>
    <w:rsid w:val="00226E2D"/>
    <w:rsid w:val="002273B9"/>
    <w:rsid w:val="0023104C"/>
    <w:rsid w:val="00232F3F"/>
    <w:rsid w:val="0023539F"/>
    <w:rsid w:val="0023626E"/>
    <w:rsid w:val="00240A49"/>
    <w:rsid w:val="002443A6"/>
    <w:rsid w:val="00245D17"/>
    <w:rsid w:val="002474A5"/>
    <w:rsid w:val="0025333F"/>
    <w:rsid w:val="002620B3"/>
    <w:rsid w:val="002622FB"/>
    <w:rsid w:val="002646D2"/>
    <w:rsid w:val="00264EC0"/>
    <w:rsid w:val="00267F36"/>
    <w:rsid w:val="0027070C"/>
    <w:rsid w:val="002750B1"/>
    <w:rsid w:val="002772AE"/>
    <w:rsid w:val="0028075D"/>
    <w:rsid w:val="00280C14"/>
    <w:rsid w:val="00281448"/>
    <w:rsid w:val="00282F2F"/>
    <w:rsid w:val="002911C4"/>
    <w:rsid w:val="00295715"/>
    <w:rsid w:val="00295CE5"/>
    <w:rsid w:val="002964C9"/>
    <w:rsid w:val="002A4006"/>
    <w:rsid w:val="002A750E"/>
    <w:rsid w:val="002B0EE7"/>
    <w:rsid w:val="002B18FA"/>
    <w:rsid w:val="002B425D"/>
    <w:rsid w:val="002C4768"/>
    <w:rsid w:val="002C66DE"/>
    <w:rsid w:val="002E0B43"/>
    <w:rsid w:val="002E132D"/>
    <w:rsid w:val="002F1F9C"/>
    <w:rsid w:val="002F4150"/>
    <w:rsid w:val="003009F0"/>
    <w:rsid w:val="00303055"/>
    <w:rsid w:val="00305D1D"/>
    <w:rsid w:val="00307261"/>
    <w:rsid w:val="0031263C"/>
    <w:rsid w:val="00314799"/>
    <w:rsid w:val="00322ECC"/>
    <w:rsid w:val="0032469B"/>
    <w:rsid w:val="0032656F"/>
    <w:rsid w:val="00326DD1"/>
    <w:rsid w:val="003300AE"/>
    <w:rsid w:val="0033094F"/>
    <w:rsid w:val="003324D8"/>
    <w:rsid w:val="00333E7F"/>
    <w:rsid w:val="00343769"/>
    <w:rsid w:val="00347CC7"/>
    <w:rsid w:val="0035179A"/>
    <w:rsid w:val="0035776B"/>
    <w:rsid w:val="00357A42"/>
    <w:rsid w:val="00361D40"/>
    <w:rsid w:val="00364330"/>
    <w:rsid w:val="0036668F"/>
    <w:rsid w:val="0037028A"/>
    <w:rsid w:val="0037036C"/>
    <w:rsid w:val="003754A5"/>
    <w:rsid w:val="00377AF4"/>
    <w:rsid w:val="0038263E"/>
    <w:rsid w:val="003935A3"/>
    <w:rsid w:val="003952D2"/>
    <w:rsid w:val="00396401"/>
    <w:rsid w:val="003A1AE9"/>
    <w:rsid w:val="003A2737"/>
    <w:rsid w:val="003A459D"/>
    <w:rsid w:val="003A475F"/>
    <w:rsid w:val="003B54E8"/>
    <w:rsid w:val="003B620A"/>
    <w:rsid w:val="003C4060"/>
    <w:rsid w:val="003C4501"/>
    <w:rsid w:val="003C4636"/>
    <w:rsid w:val="003C579B"/>
    <w:rsid w:val="003D2BB4"/>
    <w:rsid w:val="003E091A"/>
    <w:rsid w:val="003F3D19"/>
    <w:rsid w:val="003F4439"/>
    <w:rsid w:val="00401964"/>
    <w:rsid w:val="00402361"/>
    <w:rsid w:val="004027F8"/>
    <w:rsid w:val="004058C2"/>
    <w:rsid w:val="00405DDC"/>
    <w:rsid w:val="004160B5"/>
    <w:rsid w:val="00422915"/>
    <w:rsid w:val="004246FE"/>
    <w:rsid w:val="004279F1"/>
    <w:rsid w:val="00430118"/>
    <w:rsid w:val="00434BFD"/>
    <w:rsid w:val="00441433"/>
    <w:rsid w:val="00443C1B"/>
    <w:rsid w:val="00443C9C"/>
    <w:rsid w:val="0044402A"/>
    <w:rsid w:val="004504AC"/>
    <w:rsid w:val="0046355B"/>
    <w:rsid w:val="00465E31"/>
    <w:rsid w:val="00467A7D"/>
    <w:rsid w:val="0047158F"/>
    <w:rsid w:val="00476C45"/>
    <w:rsid w:val="00476F2C"/>
    <w:rsid w:val="00481738"/>
    <w:rsid w:val="004824BE"/>
    <w:rsid w:val="00483BD3"/>
    <w:rsid w:val="0048559C"/>
    <w:rsid w:val="00487B33"/>
    <w:rsid w:val="00490489"/>
    <w:rsid w:val="00496019"/>
    <w:rsid w:val="00496C14"/>
    <w:rsid w:val="00496CEF"/>
    <w:rsid w:val="004A03B7"/>
    <w:rsid w:val="004A5A7C"/>
    <w:rsid w:val="004B20DB"/>
    <w:rsid w:val="004B3EA5"/>
    <w:rsid w:val="004B575B"/>
    <w:rsid w:val="004C539F"/>
    <w:rsid w:val="004C6E83"/>
    <w:rsid w:val="004E2220"/>
    <w:rsid w:val="004F33F2"/>
    <w:rsid w:val="004F47B5"/>
    <w:rsid w:val="004F6CED"/>
    <w:rsid w:val="004F6D28"/>
    <w:rsid w:val="0050613B"/>
    <w:rsid w:val="00506BFE"/>
    <w:rsid w:val="00522303"/>
    <w:rsid w:val="0052311B"/>
    <w:rsid w:val="00525CA2"/>
    <w:rsid w:val="00526D3E"/>
    <w:rsid w:val="00527177"/>
    <w:rsid w:val="00527998"/>
    <w:rsid w:val="0053153A"/>
    <w:rsid w:val="00537CD9"/>
    <w:rsid w:val="00547EB8"/>
    <w:rsid w:val="005505BB"/>
    <w:rsid w:val="00551B87"/>
    <w:rsid w:val="00552FC7"/>
    <w:rsid w:val="0055391F"/>
    <w:rsid w:val="00553B2B"/>
    <w:rsid w:val="00553E83"/>
    <w:rsid w:val="00554EC8"/>
    <w:rsid w:val="00555657"/>
    <w:rsid w:val="00555CAC"/>
    <w:rsid w:val="00556F68"/>
    <w:rsid w:val="00562417"/>
    <w:rsid w:val="00574436"/>
    <w:rsid w:val="005748FB"/>
    <w:rsid w:val="00575DEC"/>
    <w:rsid w:val="00583C71"/>
    <w:rsid w:val="00591C19"/>
    <w:rsid w:val="005A2DFA"/>
    <w:rsid w:val="005B11C3"/>
    <w:rsid w:val="005B129C"/>
    <w:rsid w:val="005B66D2"/>
    <w:rsid w:val="005B73D1"/>
    <w:rsid w:val="005C08A0"/>
    <w:rsid w:val="005C3F9B"/>
    <w:rsid w:val="005D7520"/>
    <w:rsid w:val="005E07CB"/>
    <w:rsid w:val="00602936"/>
    <w:rsid w:val="00603E27"/>
    <w:rsid w:val="006060CA"/>
    <w:rsid w:val="00606C4D"/>
    <w:rsid w:val="00614241"/>
    <w:rsid w:val="00616628"/>
    <w:rsid w:val="006204AB"/>
    <w:rsid w:val="0062497F"/>
    <w:rsid w:val="0062580D"/>
    <w:rsid w:val="00625958"/>
    <w:rsid w:val="0062737B"/>
    <w:rsid w:val="00636709"/>
    <w:rsid w:val="0063696B"/>
    <w:rsid w:val="00640B7B"/>
    <w:rsid w:val="00642A4E"/>
    <w:rsid w:val="00645691"/>
    <w:rsid w:val="00647156"/>
    <w:rsid w:val="006517B5"/>
    <w:rsid w:val="00653A9F"/>
    <w:rsid w:val="00661C52"/>
    <w:rsid w:val="0066280D"/>
    <w:rsid w:val="0066568D"/>
    <w:rsid w:val="00666D32"/>
    <w:rsid w:val="00670B84"/>
    <w:rsid w:val="0067445E"/>
    <w:rsid w:val="006755FD"/>
    <w:rsid w:val="0068140F"/>
    <w:rsid w:val="006852DC"/>
    <w:rsid w:val="006873F8"/>
    <w:rsid w:val="00690A0B"/>
    <w:rsid w:val="006915CD"/>
    <w:rsid w:val="006969AC"/>
    <w:rsid w:val="006A3E3F"/>
    <w:rsid w:val="006B0E94"/>
    <w:rsid w:val="006B72FA"/>
    <w:rsid w:val="006C0232"/>
    <w:rsid w:val="006C1271"/>
    <w:rsid w:val="006C16D7"/>
    <w:rsid w:val="006C1DF8"/>
    <w:rsid w:val="006C2F81"/>
    <w:rsid w:val="006C5214"/>
    <w:rsid w:val="006C6275"/>
    <w:rsid w:val="006D4E41"/>
    <w:rsid w:val="006D5078"/>
    <w:rsid w:val="006D572E"/>
    <w:rsid w:val="006E242F"/>
    <w:rsid w:val="006E2AA5"/>
    <w:rsid w:val="006E5D67"/>
    <w:rsid w:val="006E7FA7"/>
    <w:rsid w:val="006F5D77"/>
    <w:rsid w:val="00700BA4"/>
    <w:rsid w:val="007035DA"/>
    <w:rsid w:val="00712D04"/>
    <w:rsid w:val="007137E4"/>
    <w:rsid w:val="00715194"/>
    <w:rsid w:val="00722329"/>
    <w:rsid w:val="0073064C"/>
    <w:rsid w:val="007449DA"/>
    <w:rsid w:val="00751221"/>
    <w:rsid w:val="00754706"/>
    <w:rsid w:val="00755B0C"/>
    <w:rsid w:val="00757267"/>
    <w:rsid w:val="007600DD"/>
    <w:rsid w:val="00760CA3"/>
    <w:rsid w:val="0076166F"/>
    <w:rsid w:val="00767144"/>
    <w:rsid w:val="007718CF"/>
    <w:rsid w:val="00771E17"/>
    <w:rsid w:val="007731FC"/>
    <w:rsid w:val="007743AB"/>
    <w:rsid w:val="0077446E"/>
    <w:rsid w:val="007809BD"/>
    <w:rsid w:val="00780E7A"/>
    <w:rsid w:val="00785B10"/>
    <w:rsid w:val="00787ED7"/>
    <w:rsid w:val="0079079F"/>
    <w:rsid w:val="0079698D"/>
    <w:rsid w:val="007978DD"/>
    <w:rsid w:val="007B3D8E"/>
    <w:rsid w:val="007B4DF2"/>
    <w:rsid w:val="007B7785"/>
    <w:rsid w:val="007B78C3"/>
    <w:rsid w:val="007C2881"/>
    <w:rsid w:val="007D03F7"/>
    <w:rsid w:val="007D10BC"/>
    <w:rsid w:val="007D5921"/>
    <w:rsid w:val="007D63B1"/>
    <w:rsid w:val="007E5622"/>
    <w:rsid w:val="007F0AFF"/>
    <w:rsid w:val="007F3F24"/>
    <w:rsid w:val="007F64B2"/>
    <w:rsid w:val="008002BA"/>
    <w:rsid w:val="0080498E"/>
    <w:rsid w:val="00807C4F"/>
    <w:rsid w:val="00807E6F"/>
    <w:rsid w:val="00810251"/>
    <w:rsid w:val="00822DFA"/>
    <w:rsid w:val="00826C30"/>
    <w:rsid w:val="00827743"/>
    <w:rsid w:val="00833B43"/>
    <w:rsid w:val="00840F1A"/>
    <w:rsid w:val="00850142"/>
    <w:rsid w:val="0085427B"/>
    <w:rsid w:val="00855BA4"/>
    <w:rsid w:val="00866180"/>
    <w:rsid w:val="00872F39"/>
    <w:rsid w:val="0087601E"/>
    <w:rsid w:val="00887189"/>
    <w:rsid w:val="00887D23"/>
    <w:rsid w:val="008909D8"/>
    <w:rsid w:val="008918BF"/>
    <w:rsid w:val="0089252E"/>
    <w:rsid w:val="0089311D"/>
    <w:rsid w:val="008970AF"/>
    <w:rsid w:val="008A0C3A"/>
    <w:rsid w:val="008A2D3F"/>
    <w:rsid w:val="008B4E6B"/>
    <w:rsid w:val="008B63F9"/>
    <w:rsid w:val="008B79DD"/>
    <w:rsid w:val="008C2291"/>
    <w:rsid w:val="008C285B"/>
    <w:rsid w:val="008C4BF8"/>
    <w:rsid w:val="008C62B2"/>
    <w:rsid w:val="008E22C3"/>
    <w:rsid w:val="008F16A2"/>
    <w:rsid w:val="008F1A7E"/>
    <w:rsid w:val="00902654"/>
    <w:rsid w:val="009047F5"/>
    <w:rsid w:val="00913F5C"/>
    <w:rsid w:val="0091422C"/>
    <w:rsid w:val="00914508"/>
    <w:rsid w:val="0092227C"/>
    <w:rsid w:val="00922B63"/>
    <w:rsid w:val="009312FA"/>
    <w:rsid w:val="00931C94"/>
    <w:rsid w:val="00932610"/>
    <w:rsid w:val="00932F1F"/>
    <w:rsid w:val="00933589"/>
    <w:rsid w:val="00933AE9"/>
    <w:rsid w:val="00935904"/>
    <w:rsid w:val="0094153D"/>
    <w:rsid w:val="00945EAE"/>
    <w:rsid w:val="00966443"/>
    <w:rsid w:val="009737FA"/>
    <w:rsid w:val="0097780F"/>
    <w:rsid w:val="00981E0F"/>
    <w:rsid w:val="00983940"/>
    <w:rsid w:val="00986363"/>
    <w:rsid w:val="00994789"/>
    <w:rsid w:val="00996F4C"/>
    <w:rsid w:val="009A08D4"/>
    <w:rsid w:val="009A198C"/>
    <w:rsid w:val="009A5FC6"/>
    <w:rsid w:val="009B0D8E"/>
    <w:rsid w:val="009B0DC5"/>
    <w:rsid w:val="009B0E4F"/>
    <w:rsid w:val="009B4ED1"/>
    <w:rsid w:val="009C1440"/>
    <w:rsid w:val="009C21D2"/>
    <w:rsid w:val="009C45A0"/>
    <w:rsid w:val="009C6AC5"/>
    <w:rsid w:val="009D2F6C"/>
    <w:rsid w:val="009D4A8D"/>
    <w:rsid w:val="009D585A"/>
    <w:rsid w:val="009D58C6"/>
    <w:rsid w:val="009D592E"/>
    <w:rsid w:val="009E00CC"/>
    <w:rsid w:val="009E0DDB"/>
    <w:rsid w:val="009F19BD"/>
    <w:rsid w:val="00A00BD2"/>
    <w:rsid w:val="00A030EB"/>
    <w:rsid w:val="00A06A1F"/>
    <w:rsid w:val="00A10613"/>
    <w:rsid w:val="00A165B2"/>
    <w:rsid w:val="00A17020"/>
    <w:rsid w:val="00A21404"/>
    <w:rsid w:val="00A21A34"/>
    <w:rsid w:val="00A22DF4"/>
    <w:rsid w:val="00A37444"/>
    <w:rsid w:val="00A37E09"/>
    <w:rsid w:val="00A409B9"/>
    <w:rsid w:val="00A423FE"/>
    <w:rsid w:val="00A435D4"/>
    <w:rsid w:val="00A44CBF"/>
    <w:rsid w:val="00A44E04"/>
    <w:rsid w:val="00A45525"/>
    <w:rsid w:val="00A45E5F"/>
    <w:rsid w:val="00A46636"/>
    <w:rsid w:val="00A522BC"/>
    <w:rsid w:val="00A524C3"/>
    <w:rsid w:val="00A53F19"/>
    <w:rsid w:val="00A60BFD"/>
    <w:rsid w:val="00A65643"/>
    <w:rsid w:val="00A6581D"/>
    <w:rsid w:val="00A72F70"/>
    <w:rsid w:val="00A768DD"/>
    <w:rsid w:val="00A80575"/>
    <w:rsid w:val="00A815F3"/>
    <w:rsid w:val="00A864C5"/>
    <w:rsid w:val="00A8684E"/>
    <w:rsid w:val="00A86F1B"/>
    <w:rsid w:val="00A90247"/>
    <w:rsid w:val="00A932B8"/>
    <w:rsid w:val="00AA339D"/>
    <w:rsid w:val="00AA394B"/>
    <w:rsid w:val="00AA5AC3"/>
    <w:rsid w:val="00AB2BCB"/>
    <w:rsid w:val="00AB4E56"/>
    <w:rsid w:val="00AB5220"/>
    <w:rsid w:val="00AB7246"/>
    <w:rsid w:val="00AC0BF7"/>
    <w:rsid w:val="00AC1195"/>
    <w:rsid w:val="00AC5E50"/>
    <w:rsid w:val="00AC5E74"/>
    <w:rsid w:val="00AC6510"/>
    <w:rsid w:val="00AC7A4C"/>
    <w:rsid w:val="00AD0CD5"/>
    <w:rsid w:val="00AD27B9"/>
    <w:rsid w:val="00AD3882"/>
    <w:rsid w:val="00AD4181"/>
    <w:rsid w:val="00AD4855"/>
    <w:rsid w:val="00AD5507"/>
    <w:rsid w:val="00AD5F44"/>
    <w:rsid w:val="00AD696A"/>
    <w:rsid w:val="00AE510A"/>
    <w:rsid w:val="00AE6AF8"/>
    <w:rsid w:val="00AF630E"/>
    <w:rsid w:val="00B0095F"/>
    <w:rsid w:val="00B03703"/>
    <w:rsid w:val="00B055C8"/>
    <w:rsid w:val="00B06686"/>
    <w:rsid w:val="00B169C7"/>
    <w:rsid w:val="00B177B8"/>
    <w:rsid w:val="00B27696"/>
    <w:rsid w:val="00B32EBD"/>
    <w:rsid w:val="00B43455"/>
    <w:rsid w:val="00B51F14"/>
    <w:rsid w:val="00B545B4"/>
    <w:rsid w:val="00B54C32"/>
    <w:rsid w:val="00B56380"/>
    <w:rsid w:val="00B57B5F"/>
    <w:rsid w:val="00B6454A"/>
    <w:rsid w:val="00B665C1"/>
    <w:rsid w:val="00B7119B"/>
    <w:rsid w:val="00B72C7B"/>
    <w:rsid w:val="00B73577"/>
    <w:rsid w:val="00B7661E"/>
    <w:rsid w:val="00B86B11"/>
    <w:rsid w:val="00B91AA2"/>
    <w:rsid w:val="00B940CB"/>
    <w:rsid w:val="00B978A8"/>
    <w:rsid w:val="00BA1EC4"/>
    <w:rsid w:val="00BA66B8"/>
    <w:rsid w:val="00BB24A5"/>
    <w:rsid w:val="00BB43C2"/>
    <w:rsid w:val="00BC429F"/>
    <w:rsid w:val="00BC524E"/>
    <w:rsid w:val="00BC627F"/>
    <w:rsid w:val="00BC732C"/>
    <w:rsid w:val="00BD3DE8"/>
    <w:rsid w:val="00BD4B92"/>
    <w:rsid w:val="00BD6F8A"/>
    <w:rsid w:val="00BE2F61"/>
    <w:rsid w:val="00BE3DB8"/>
    <w:rsid w:val="00BF08DF"/>
    <w:rsid w:val="00BF22AD"/>
    <w:rsid w:val="00BF233B"/>
    <w:rsid w:val="00BF6B20"/>
    <w:rsid w:val="00BF6B5A"/>
    <w:rsid w:val="00C01E35"/>
    <w:rsid w:val="00C04C4F"/>
    <w:rsid w:val="00C17DD4"/>
    <w:rsid w:val="00C2237B"/>
    <w:rsid w:val="00C25389"/>
    <w:rsid w:val="00C26754"/>
    <w:rsid w:val="00C35E94"/>
    <w:rsid w:val="00C36301"/>
    <w:rsid w:val="00C42B96"/>
    <w:rsid w:val="00C44F24"/>
    <w:rsid w:val="00C46E26"/>
    <w:rsid w:val="00C479CE"/>
    <w:rsid w:val="00C654A9"/>
    <w:rsid w:val="00C66B15"/>
    <w:rsid w:val="00C70306"/>
    <w:rsid w:val="00C73B62"/>
    <w:rsid w:val="00C7490C"/>
    <w:rsid w:val="00C756C4"/>
    <w:rsid w:val="00C8000D"/>
    <w:rsid w:val="00C80CAC"/>
    <w:rsid w:val="00C83D28"/>
    <w:rsid w:val="00C8429B"/>
    <w:rsid w:val="00C9098C"/>
    <w:rsid w:val="00C9146F"/>
    <w:rsid w:val="00C9306D"/>
    <w:rsid w:val="00C94827"/>
    <w:rsid w:val="00C969F6"/>
    <w:rsid w:val="00CA4380"/>
    <w:rsid w:val="00CA7126"/>
    <w:rsid w:val="00CB0C82"/>
    <w:rsid w:val="00CB3110"/>
    <w:rsid w:val="00CB442D"/>
    <w:rsid w:val="00CB6134"/>
    <w:rsid w:val="00CC0D92"/>
    <w:rsid w:val="00CD0F70"/>
    <w:rsid w:val="00CD56A3"/>
    <w:rsid w:val="00CE09C8"/>
    <w:rsid w:val="00CE3CB5"/>
    <w:rsid w:val="00CE6116"/>
    <w:rsid w:val="00CE765D"/>
    <w:rsid w:val="00CE7A45"/>
    <w:rsid w:val="00CF0C00"/>
    <w:rsid w:val="00D01A12"/>
    <w:rsid w:val="00D027E0"/>
    <w:rsid w:val="00D039E6"/>
    <w:rsid w:val="00D06069"/>
    <w:rsid w:val="00D1254E"/>
    <w:rsid w:val="00D1281D"/>
    <w:rsid w:val="00D13A74"/>
    <w:rsid w:val="00D14F13"/>
    <w:rsid w:val="00D240C3"/>
    <w:rsid w:val="00D3144F"/>
    <w:rsid w:val="00D33E69"/>
    <w:rsid w:val="00D34F7B"/>
    <w:rsid w:val="00D35FA2"/>
    <w:rsid w:val="00D369C2"/>
    <w:rsid w:val="00D405D5"/>
    <w:rsid w:val="00D41FDA"/>
    <w:rsid w:val="00D421EA"/>
    <w:rsid w:val="00D45A0D"/>
    <w:rsid w:val="00D46CB7"/>
    <w:rsid w:val="00D46E46"/>
    <w:rsid w:val="00D50B98"/>
    <w:rsid w:val="00D50D66"/>
    <w:rsid w:val="00D5139F"/>
    <w:rsid w:val="00D51405"/>
    <w:rsid w:val="00D53B83"/>
    <w:rsid w:val="00D54731"/>
    <w:rsid w:val="00D60DC0"/>
    <w:rsid w:val="00D61005"/>
    <w:rsid w:val="00D61C72"/>
    <w:rsid w:val="00D658C2"/>
    <w:rsid w:val="00D67A38"/>
    <w:rsid w:val="00D7013D"/>
    <w:rsid w:val="00D708D5"/>
    <w:rsid w:val="00D71364"/>
    <w:rsid w:val="00D734E1"/>
    <w:rsid w:val="00D8037B"/>
    <w:rsid w:val="00D813B9"/>
    <w:rsid w:val="00D81613"/>
    <w:rsid w:val="00D93A5F"/>
    <w:rsid w:val="00D93D0F"/>
    <w:rsid w:val="00DA2A5D"/>
    <w:rsid w:val="00DA5967"/>
    <w:rsid w:val="00DA5E6D"/>
    <w:rsid w:val="00DA62CE"/>
    <w:rsid w:val="00DA6CC6"/>
    <w:rsid w:val="00DC21F4"/>
    <w:rsid w:val="00DC22C9"/>
    <w:rsid w:val="00DC7115"/>
    <w:rsid w:val="00DC778B"/>
    <w:rsid w:val="00DD5BD3"/>
    <w:rsid w:val="00DD61A4"/>
    <w:rsid w:val="00DD6908"/>
    <w:rsid w:val="00DE1225"/>
    <w:rsid w:val="00DE2920"/>
    <w:rsid w:val="00DF60C3"/>
    <w:rsid w:val="00E07D85"/>
    <w:rsid w:val="00E10C22"/>
    <w:rsid w:val="00E1380E"/>
    <w:rsid w:val="00E21430"/>
    <w:rsid w:val="00E238B3"/>
    <w:rsid w:val="00E264A6"/>
    <w:rsid w:val="00E26E56"/>
    <w:rsid w:val="00E26F40"/>
    <w:rsid w:val="00E27DB1"/>
    <w:rsid w:val="00E318E5"/>
    <w:rsid w:val="00E33113"/>
    <w:rsid w:val="00E34DA8"/>
    <w:rsid w:val="00E36D8F"/>
    <w:rsid w:val="00E37481"/>
    <w:rsid w:val="00E44BFB"/>
    <w:rsid w:val="00E526ED"/>
    <w:rsid w:val="00E62600"/>
    <w:rsid w:val="00E665CE"/>
    <w:rsid w:val="00E702EF"/>
    <w:rsid w:val="00E71301"/>
    <w:rsid w:val="00E84F97"/>
    <w:rsid w:val="00EA1ED6"/>
    <w:rsid w:val="00EA59B1"/>
    <w:rsid w:val="00EA5C0C"/>
    <w:rsid w:val="00EA6C20"/>
    <w:rsid w:val="00EB1A12"/>
    <w:rsid w:val="00EB2E3D"/>
    <w:rsid w:val="00EC2EEC"/>
    <w:rsid w:val="00ED0699"/>
    <w:rsid w:val="00ED4727"/>
    <w:rsid w:val="00ED4F39"/>
    <w:rsid w:val="00ED55A2"/>
    <w:rsid w:val="00ED744D"/>
    <w:rsid w:val="00EE272E"/>
    <w:rsid w:val="00EE5B21"/>
    <w:rsid w:val="00EE6FCA"/>
    <w:rsid w:val="00EE737B"/>
    <w:rsid w:val="00EE7B7F"/>
    <w:rsid w:val="00EF14F8"/>
    <w:rsid w:val="00F003C3"/>
    <w:rsid w:val="00F02605"/>
    <w:rsid w:val="00F0784F"/>
    <w:rsid w:val="00F0795D"/>
    <w:rsid w:val="00F1055A"/>
    <w:rsid w:val="00F13393"/>
    <w:rsid w:val="00F15209"/>
    <w:rsid w:val="00F200A0"/>
    <w:rsid w:val="00F22852"/>
    <w:rsid w:val="00F279D0"/>
    <w:rsid w:val="00F30170"/>
    <w:rsid w:val="00F336FF"/>
    <w:rsid w:val="00F349B4"/>
    <w:rsid w:val="00F35BD0"/>
    <w:rsid w:val="00F51B59"/>
    <w:rsid w:val="00F63379"/>
    <w:rsid w:val="00F63554"/>
    <w:rsid w:val="00F71C47"/>
    <w:rsid w:val="00F735CE"/>
    <w:rsid w:val="00F80F05"/>
    <w:rsid w:val="00F817B4"/>
    <w:rsid w:val="00F82936"/>
    <w:rsid w:val="00F9268D"/>
    <w:rsid w:val="00F943C1"/>
    <w:rsid w:val="00F969AF"/>
    <w:rsid w:val="00FA64BC"/>
    <w:rsid w:val="00FB0B58"/>
    <w:rsid w:val="00FB137A"/>
    <w:rsid w:val="00FC07E8"/>
    <w:rsid w:val="00FC0B5F"/>
    <w:rsid w:val="00FC24AC"/>
    <w:rsid w:val="00FC3575"/>
    <w:rsid w:val="00FC35D9"/>
    <w:rsid w:val="00FC5C30"/>
    <w:rsid w:val="00FD2401"/>
    <w:rsid w:val="00FD46E6"/>
    <w:rsid w:val="00FD5F09"/>
    <w:rsid w:val="00FE73BA"/>
    <w:rsid w:val="00FE77FF"/>
    <w:rsid w:val="00FF0208"/>
    <w:rsid w:val="00FF251A"/>
    <w:rsid w:val="00FF335B"/>
    <w:rsid w:val="0E2A49F6"/>
    <w:rsid w:val="11B90BA4"/>
    <w:rsid w:val="18176DEB"/>
    <w:rsid w:val="19763FD2"/>
    <w:rsid w:val="1CB563BF"/>
    <w:rsid w:val="1CCD6DD5"/>
    <w:rsid w:val="1DD7234A"/>
    <w:rsid w:val="254969BC"/>
    <w:rsid w:val="254A747A"/>
    <w:rsid w:val="25DE356A"/>
    <w:rsid w:val="2ABB1E05"/>
    <w:rsid w:val="2D080FB7"/>
    <w:rsid w:val="2DD359EE"/>
    <w:rsid w:val="2F55084A"/>
    <w:rsid w:val="35637DFF"/>
    <w:rsid w:val="3B7337B0"/>
    <w:rsid w:val="3F5B0F8E"/>
    <w:rsid w:val="43F25407"/>
    <w:rsid w:val="453A628D"/>
    <w:rsid w:val="48897362"/>
    <w:rsid w:val="4AA767C6"/>
    <w:rsid w:val="556A7395"/>
    <w:rsid w:val="5FF44662"/>
    <w:rsid w:val="67836379"/>
    <w:rsid w:val="6DC06DF5"/>
    <w:rsid w:val="770E41B3"/>
    <w:rsid w:val="7CC8596D"/>
    <w:rsid w:val="7DD77036"/>
    <w:rsid w:val="7E2F263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hr-HR" w:eastAsia="en-US" w:bidi="ar-SA"/>
    </w:rPr>
  </w:style>
  <w:style w:type="paragraph" w:styleId="2">
    <w:name w:val="heading 1"/>
    <w:basedOn w:val="1"/>
    <w:next w:val="1"/>
    <w:link w:val="22"/>
    <w:qFormat/>
    <w:uiPriority w:val="0"/>
    <w:pPr>
      <w:keepNext/>
      <w:keepLines/>
      <w:spacing w:before="480" w:after="0"/>
      <w:outlineLvl w:val="0"/>
    </w:pPr>
    <w:rPr>
      <w:rFonts w:ascii="Cambria" w:hAnsi="Cambria"/>
      <w:b/>
      <w:bCs/>
      <w:color w:val="365F91"/>
      <w:sz w:val="28"/>
      <w:szCs w:val="28"/>
      <w:lang w:val="zh-CN"/>
    </w:rPr>
  </w:style>
  <w:style w:type="paragraph" w:styleId="3">
    <w:name w:val="heading 2"/>
    <w:next w:val="1"/>
    <w:link w:val="23"/>
    <w:semiHidden/>
    <w:unhideWhenUsed/>
    <w:qFormat/>
    <w:uiPriority w:val="9"/>
    <w:pPr>
      <w:keepNext/>
      <w:suppressAutoHyphens/>
      <w:spacing w:before="240" w:after="60" w:line="276" w:lineRule="auto"/>
      <w:outlineLvl w:val="1"/>
    </w:pPr>
    <w:rPr>
      <w:rFonts w:ascii="Cambria" w:hAnsi="Cambria" w:eastAsia="Times New Roman" w:cs="Times New Roman"/>
      <w:b/>
      <w:bCs/>
      <w:i/>
      <w:iCs/>
      <w:sz w:val="28"/>
      <w:szCs w:val="28"/>
      <w:lang w:val="hr-HR" w:eastAsia="ar-SA" w:bidi="ar-SA"/>
    </w:rPr>
  </w:style>
  <w:style w:type="paragraph" w:styleId="4">
    <w:name w:val="heading 3"/>
    <w:basedOn w:val="1"/>
    <w:next w:val="5"/>
    <w:link w:val="24"/>
    <w:qFormat/>
    <w:uiPriority w:val="0"/>
    <w:pPr>
      <w:spacing w:before="9" w:after="120" w:line="240" w:lineRule="auto"/>
      <w:outlineLvl w:val="2"/>
    </w:pPr>
    <w:rPr>
      <w:rFonts w:ascii="Arial" w:hAnsi="Arial"/>
      <w:b/>
      <w:bCs/>
      <w:sz w:val="29"/>
      <w:szCs w:val="29"/>
      <w:lang w:val="zh-CN"/>
    </w:rPr>
  </w:style>
  <w:style w:type="paragraph" w:styleId="6">
    <w:name w:val="heading 4"/>
    <w:basedOn w:val="1"/>
    <w:next w:val="1"/>
    <w:link w:val="25"/>
    <w:semiHidden/>
    <w:unhideWhenUsed/>
    <w:qFormat/>
    <w:uiPriority w:val="9"/>
    <w:pPr>
      <w:keepNext/>
      <w:spacing w:before="240" w:after="60"/>
      <w:outlineLvl w:val="3"/>
    </w:pPr>
    <w:rPr>
      <w:rFonts w:eastAsia="Times New Roman"/>
      <w:b/>
      <w:bCs/>
      <w:sz w:val="28"/>
      <w:szCs w:val="28"/>
      <w:lang w:val="zh-CN"/>
    </w:rPr>
  </w:style>
  <w:style w:type="paragraph" w:styleId="7">
    <w:name w:val="heading 5"/>
    <w:basedOn w:val="1"/>
    <w:next w:val="1"/>
    <w:link w:val="32"/>
    <w:semiHidden/>
    <w:unhideWhenUsed/>
    <w:qFormat/>
    <w:uiPriority w:val="9"/>
    <w:pPr>
      <w:spacing w:before="240" w:after="60"/>
      <w:outlineLvl w:val="4"/>
    </w:pPr>
    <w:rPr>
      <w:rFonts w:eastAsia="Times New Roman"/>
      <w:b/>
      <w:bCs/>
      <w:i/>
      <w:iCs/>
      <w:sz w:val="26"/>
      <w:szCs w:val="26"/>
      <w:lang w:val="zh-CN"/>
    </w:rPr>
  </w:style>
  <w:style w:type="paragraph" w:styleId="8">
    <w:name w:val="heading 6"/>
    <w:basedOn w:val="1"/>
    <w:next w:val="1"/>
    <w:link w:val="33"/>
    <w:semiHidden/>
    <w:unhideWhenUsed/>
    <w:qFormat/>
    <w:uiPriority w:val="9"/>
    <w:pPr>
      <w:spacing w:before="240" w:after="60"/>
      <w:outlineLvl w:val="5"/>
    </w:pPr>
    <w:rPr>
      <w:rFonts w:eastAsia="Times New Roman"/>
      <w:b/>
      <w:bCs/>
      <w:lang w:val="zh-CN"/>
    </w:rPr>
  </w:style>
  <w:style w:type="paragraph" w:styleId="9">
    <w:name w:val="heading 7"/>
    <w:basedOn w:val="1"/>
    <w:next w:val="1"/>
    <w:link w:val="34"/>
    <w:semiHidden/>
    <w:unhideWhenUsed/>
    <w:qFormat/>
    <w:uiPriority w:val="9"/>
    <w:pPr>
      <w:spacing w:before="240" w:after="60"/>
      <w:outlineLvl w:val="6"/>
    </w:pPr>
    <w:rPr>
      <w:rFonts w:eastAsia="Times New Roman"/>
      <w:sz w:val="24"/>
      <w:szCs w:val="24"/>
      <w:lang w:val="zh-CN"/>
    </w:rPr>
  </w:style>
  <w:style w:type="paragraph" w:styleId="10">
    <w:name w:val="heading 8"/>
    <w:basedOn w:val="1"/>
    <w:next w:val="1"/>
    <w:link w:val="35"/>
    <w:semiHidden/>
    <w:unhideWhenUsed/>
    <w:qFormat/>
    <w:uiPriority w:val="9"/>
    <w:pPr>
      <w:spacing w:before="240" w:after="60"/>
      <w:outlineLvl w:val="7"/>
    </w:pPr>
    <w:rPr>
      <w:rFonts w:eastAsia="Times New Roman"/>
      <w:i/>
      <w:iCs/>
      <w:sz w:val="24"/>
      <w:szCs w:val="24"/>
      <w:lang w:val="zh-CN"/>
    </w:rPr>
  </w:style>
  <w:style w:type="paragraph" w:styleId="11">
    <w:name w:val="heading 9"/>
    <w:basedOn w:val="1"/>
    <w:next w:val="1"/>
    <w:link w:val="36"/>
    <w:semiHidden/>
    <w:unhideWhenUsed/>
    <w:qFormat/>
    <w:uiPriority w:val="9"/>
    <w:pPr>
      <w:spacing w:before="240" w:after="60"/>
      <w:outlineLvl w:val="8"/>
    </w:pPr>
    <w:rPr>
      <w:rFonts w:ascii="Cambria" w:hAnsi="Cambria" w:eastAsia="Times New Roman"/>
      <w:lang w:val="zh-CN"/>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37"/>
    <w:semiHidden/>
    <w:unhideWhenUsed/>
    <w:qFormat/>
    <w:uiPriority w:val="99"/>
    <w:pPr>
      <w:spacing w:after="120"/>
    </w:pPr>
  </w:style>
  <w:style w:type="paragraph" w:styleId="14">
    <w:name w:val="Balloon Text"/>
    <w:basedOn w:val="1"/>
    <w:link w:val="41"/>
    <w:semiHidden/>
    <w:unhideWhenUsed/>
    <w:qFormat/>
    <w:uiPriority w:val="99"/>
    <w:pPr>
      <w:spacing w:after="0" w:line="240" w:lineRule="auto"/>
    </w:pPr>
    <w:rPr>
      <w:rFonts w:ascii="Segoe UI" w:hAnsi="Segoe UI" w:cs="Segoe UI"/>
      <w:sz w:val="18"/>
      <w:szCs w:val="18"/>
    </w:rPr>
  </w:style>
  <w:style w:type="paragraph" w:styleId="15">
    <w:name w:val="Body Text 3"/>
    <w:basedOn w:val="1"/>
    <w:link w:val="40"/>
    <w:qFormat/>
    <w:uiPriority w:val="0"/>
    <w:pPr>
      <w:spacing w:after="120" w:line="240" w:lineRule="auto"/>
    </w:pPr>
    <w:rPr>
      <w:rFonts w:ascii="Times New Roman" w:hAnsi="Times New Roman" w:eastAsia="Times New Roman"/>
      <w:sz w:val="16"/>
      <w:szCs w:val="16"/>
      <w:lang w:eastAsia="hr-HR"/>
    </w:rPr>
  </w:style>
  <w:style w:type="character" w:styleId="16">
    <w:name w:val="Emphasis"/>
    <w:qFormat/>
    <w:uiPriority w:val="20"/>
    <w:rPr>
      <w:i/>
      <w:iCs/>
    </w:rPr>
  </w:style>
  <w:style w:type="paragraph" w:styleId="17">
    <w:name w:val="footer"/>
    <w:basedOn w:val="1"/>
    <w:link w:val="47"/>
    <w:unhideWhenUsed/>
    <w:qFormat/>
    <w:uiPriority w:val="99"/>
    <w:pPr>
      <w:tabs>
        <w:tab w:val="center" w:pos="4536"/>
        <w:tab w:val="right" w:pos="9072"/>
      </w:tabs>
      <w:spacing w:after="0" w:line="240" w:lineRule="auto"/>
    </w:pPr>
  </w:style>
  <w:style w:type="paragraph" w:styleId="18">
    <w:name w:val="header"/>
    <w:basedOn w:val="1"/>
    <w:link w:val="46"/>
    <w:unhideWhenUsed/>
    <w:qFormat/>
    <w:uiPriority w:val="99"/>
    <w:pPr>
      <w:tabs>
        <w:tab w:val="center" w:pos="4536"/>
        <w:tab w:val="right" w:pos="9072"/>
      </w:tabs>
      <w:spacing w:after="0" w:line="240" w:lineRule="auto"/>
    </w:pPr>
  </w:style>
  <w:style w:type="character" w:styleId="19">
    <w:name w:val="Hyperlink"/>
    <w:unhideWhenUsed/>
    <w:qFormat/>
    <w:uiPriority w:val="99"/>
    <w:rPr>
      <w:color w:val="0000FF"/>
      <w:u w:val="single"/>
    </w:rPr>
  </w:style>
  <w:style w:type="character" w:styleId="20">
    <w:name w:val="Strong"/>
    <w:qFormat/>
    <w:uiPriority w:val="22"/>
    <w:rPr>
      <w:b/>
      <w:bCs/>
    </w:rPr>
  </w:style>
  <w:style w:type="paragraph" w:styleId="21">
    <w:name w:val="Title"/>
    <w:basedOn w:val="1"/>
    <w:link w:val="31"/>
    <w:qFormat/>
    <w:uiPriority w:val="10"/>
    <w:pPr>
      <w:spacing w:before="240" w:after="60"/>
      <w:jc w:val="center"/>
      <w:outlineLvl w:val="0"/>
    </w:pPr>
    <w:rPr>
      <w:rFonts w:ascii="Cambria" w:hAnsi="Cambria" w:eastAsia="Times New Roman"/>
      <w:b/>
      <w:bCs/>
      <w:kern w:val="28"/>
      <w:sz w:val="32"/>
      <w:szCs w:val="32"/>
    </w:rPr>
  </w:style>
  <w:style w:type="character" w:customStyle="1" w:styleId="22">
    <w:name w:val="Naslov 1 Char"/>
    <w:link w:val="2"/>
    <w:qFormat/>
    <w:uiPriority w:val="0"/>
    <w:rPr>
      <w:rFonts w:ascii="Cambria" w:hAnsi="Cambria"/>
      <w:b/>
      <w:bCs/>
      <w:color w:val="365F91"/>
      <w:sz w:val="28"/>
      <w:szCs w:val="28"/>
      <w:lang w:eastAsia="ar-SA"/>
    </w:rPr>
  </w:style>
  <w:style w:type="character" w:customStyle="1" w:styleId="23">
    <w:name w:val="Naslov 2 Char"/>
    <w:link w:val="3"/>
    <w:semiHidden/>
    <w:qFormat/>
    <w:uiPriority w:val="9"/>
    <w:rPr>
      <w:rFonts w:ascii="Cambria" w:hAnsi="Cambria" w:eastAsia="Times New Roman"/>
      <w:b/>
      <w:bCs/>
      <w:i/>
      <w:iCs/>
      <w:sz w:val="28"/>
      <w:szCs w:val="28"/>
      <w:lang w:eastAsia="ar-SA" w:bidi="ar-SA"/>
    </w:rPr>
  </w:style>
  <w:style w:type="character" w:customStyle="1" w:styleId="24">
    <w:name w:val="Naslov 3 Char"/>
    <w:link w:val="4"/>
    <w:qFormat/>
    <w:uiPriority w:val="0"/>
    <w:rPr>
      <w:rFonts w:ascii="Arial" w:hAnsi="Arial" w:eastAsia="Calibri" w:cs="Arial"/>
      <w:b/>
      <w:bCs/>
      <w:sz w:val="29"/>
      <w:szCs w:val="29"/>
      <w:lang w:eastAsia="ar-SA"/>
    </w:rPr>
  </w:style>
  <w:style w:type="character" w:customStyle="1" w:styleId="25">
    <w:name w:val="Naslov 4 Char"/>
    <w:link w:val="6"/>
    <w:semiHidden/>
    <w:qFormat/>
    <w:uiPriority w:val="9"/>
    <w:rPr>
      <w:rFonts w:ascii="Calibri" w:hAnsi="Calibri" w:eastAsia="Times New Roman" w:cs="Times New Roman"/>
      <w:b/>
      <w:bCs/>
      <w:sz w:val="28"/>
      <w:szCs w:val="28"/>
      <w:lang w:eastAsia="ar-SA"/>
    </w:rPr>
  </w:style>
  <w:style w:type="paragraph" w:customStyle="1" w:styleId="26">
    <w:name w:val="IATED-Paper Title"/>
    <w:next w:val="27"/>
    <w:qFormat/>
    <w:uiPriority w:val="0"/>
    <w:pPr>
      <w:spacing w:before="240" w:after="240"/>
      <w:jc w:val="center"/>
    </w:pPr>
    <w:rPr>
      <w:rFonts w:ascii="Arial" w:hAnsi="Arial" w:eastAsia="Calibri" w:cs="Arial"/>
      <w:b/>
      <w:bCs/>
      <w:caps/>
      <w:sz w:val="28"/>
      <w:szCs w:val="24"/>
      <w:lang w:val="en-US" w:eastAsia="es-ES" w:bidi="ar-SA"/>
    </w:rPr>
  </w:style>
  <w:style w:type="paragraph" w:customStyle="1" w:styleId="27">
    <w:name w:val="IATED-Authors"/>
    <w:next w:val="28"/>
    <w:qFormat/>
    <w:uiPriority w:val="0"/>
    <w:pPr>
      <w:spacing w:after="120"/>
      <w:jc w:val="center"/>
    </w:pPr>
    <w:rPr>
      <w:rFonts w:ascii="Arial" w:hAnsi="Arial" w:eastAsia="Calibri" w:cs="Arial"/>
      <w:b/>
      <w:bCs/>
      <w:sz w:val="24"/>
      <w:szCs w:val="24"/>
      <w:lang w:val="en-US" w:eastAsia="es-ES" w:bidi="ar-SA"/>
    </w:rPr>
  </w:style>
  <w:style w:type="paragraph" w:customStyle="1" w:styleId="28">
    <w:name w:val="IATED-Affiliation"/>
    <w:qFormat/>
    <w:uiPriority w:val="0"/>
    <w:pPr>
      <w:jc w:val="center"/>
    </w:pPr>
    <w:rPr>
      <w:rFonts w:ascii="Arial" w:hAnsi="Arial" w:eastAsia="Calibri" w:cs="Arial"/>
      <w:i/>
      <w:sz w:val="22"/>
      <w:szCs w:val="24"/>
      <w:lang w:val="en-US" w:eastAsia="es-ES" w:bidi="ar-SA"/>
    </w:rPr>
  </w:style>
  <w:style w:type="paragraph" w:customStyle="1" w:styleId="29">
    <w:name w:val="IATED-email"/>
    <w:qFormat/>
    <w:uiPriority w:val="0"/>
    <w:pPr>
      <w:spacing w:after="480"/>
      <w:jc w:val="center"/>
    </w:pPr>
    <w:rPr>
      <w:rFonts w:ascii="Arial" w:hAnsi="Arial" w:eastAsia="Calibri" w:cs="Arial"/>
      <w:i/>
      <w:iCs/>
      <w:sz w:val="22"/>
      <w:szCs w:val="24"/>
      <w:lang w:val="en-US" w:eastAsia="es-ES" w:bidi="ar-SA"/>
    </w:rPr>
  </w:style>
  <w:style w:type="paragraph" w:customStyle="1" w:styleId="30">
    <w:name w:val="IATED-References"/>
    <w:basedOn w:val="21"/>
    <w:qFormat/>
    <w:uiPriority w:val="0"/>
    <w:pPr>
      <w:widowControl w:val="0"/>
      <w:tabs>
        <w:tab w:val="left" w:pos="567"/>
      </w:tabs>
      <w:spacing w:before="0" w:after="0"/>
      <w:jc w:val="left"/>
    </w:pPr>
    <w:rPr>
      <w:rFonts w:cs="Arial"/>
      <w:b w:val="0"/>
      <w:bCs w:val="0"/>
      <w:sz w:val="20"/>
    </w:rPr>
  </w:style>
  <w:style w:type="character" w:customStyle="1" w:styleId="31">
    <w:name w:val="Naslov Char"/>
    <w:link w:val="21"/>
    <w:qFormat/>
    <w:uiPriority w:val="10"/>
    <w:rPr>
      <w:rFonts w:ascii="Cambria" w:hAnsi="Cambria" w:eastAsia="Times New Roman" w:cs="Times New Roman"/>
      <w:b/>
      <w:bCs/>
      <w:kern w:val="28"/>
      <w:sz w:val="32"/>
      <w:szCs w:val="32"/>
      <w:lang w:eastAsia="ar-SA"/>
    </w:rPr>
  </w:style>
  <w:style w:type="character" w:customStyle="1" w:styleId="32">
    <w:name w:val="Naslov 5 Char"/>
    <w:link w:val="7"/>
    <w:semiHidden/>
    <w:qFormat/>
    <w:uiPriority w:val="9"/>
    <w:rPr>
      <w:rFonts w:ascii="Calibri" w:hAnsi="Calibri" w:eastAsia="Times New Roman" w:cs="Times New Roman"/>
      <w:b/>
      <w:bCs/>
      <w:i/>
      <w:iCs/>
      <w:sz w:val="26"/>
      <w:szCs w:val="26"/>
      <w:lang w:eastAsia="ar-SA"/>
    </w:rPr>
  </w:style>
  <w:style w:type="character" w:customStyle="1" w:styleId="33">
    <w:name w:val="Naslov 6 Char"/>
    <w:link w:val="8"/>
    <w:semiHidden/>
    <w:qFormat/>
    <w:uiPriority w:val="9"/>
    <w:rPr>
      <w:rFonts w:ascii="Calibri" w:hAnsi="Calibri" w:eastAsia="Times New Roman" w:cs="Times New Roman"/>
      <w:b/>
      <w:bCs/>
      <w:sz w:val="22"/>
      <w:szCs w:val="22"/>
      <w:lang w:eastAsia="ar-SA"/>
    </w:rPr>
  </w:style>
  <w:style w:type="character" w:customStyle="1" w:styleId="34">
    <w:name w:val="Naslov 7 Char"/>
    <w:link w:val="9"/>
    <w:semiHidden/>
    <w:qFormat/>
    <w:uiPriority w:val="9"/>
    <w:rPr>
      <w:rFonts w:ascii="Calibri" w:hAnsi="Calibri" w:eastAsia="Times New Roman" w:cs="Times New Roman"/>
      <w:sz w:val="24"/>
      <w:szCs w:val="24"/>
      <w:lang w:eastAsia="ar-SA"/>
    </w:rPr>
  </w:style>
  <w:style w:type="character" w:customStyle="1" w:styleId="35">
    <w:name w:val="Naslov 8 Char"/>
    <w:link w:val="10"/>
    <w:semiHidden/>
    <w:qFormat/>
    <w:uiPriority w:val="9"/>
    <w:rPr>
      <w:rFonts w:ascii="Calibri" w:hAnsi="Calibri" w:eastAsia="Times New Roman" w:cs="Times New Roman"/>
      <w:i/>
      <w:iCs/>
      <w:sz w:val="24"/>
      <w:szCs w:val="24"/>
      <w:lang w:eastAsia="ar-SA"/>
    </w:rPr>
  </w:style>
  <w:style w:type="character" w:customStyle="1" w:styleId="36">
    <w:name w:val="Naslov 9 Char"/>
    <w:link w:val="11"/>
    <w:semiHidden/>
    <w:qFormat/>
    <w:uiPriority w:val="9"/>
    <w:rPr>
      <w:rFonts w:ascii="Cambria" w:hAnsi="Cambria" w:eastAsia="Times New Roman" w:cs="Times New Roman"/>
      <w:sz w:val="22"/>
      <w:szCs w:val="22"/>
      <w:lang w:eastAsia="ar-SA"/>
    </w:rPr>
  </w:style>
  <w:style w:type="character" w:customStyle="1" w:styleId="37">
    <w:name w:val="Tijelo teksta Char"/>
    <w:link w:val="5"/>
    <w:semiHidden/>
    <w:qFormat/>
    <w:uiPriority w:val="99"/>
    <w:rPr>
      <w:rFonts w:ascii="Calibri" w:hAnsi="Calibri" w:eastAsia="Calibri" w:cs="Calibri"/>
      <w:sz w:val="22"/>
      <w:szCs w:val="22"/>
      <w:lang w:eastAsia="ar-SA"/>
    </w:rPr>
  </w:style>
  <w:style w:type="paragraph" w:styleId="38">
    <w:name w:val="No Spacing"/>
    <w:link w:val="43"/>
    <w:qFormat/>
    <w:uiPriority w:val="1"/>
    <w:pPr>
      <w:suppressAutoHyphens/>
    </w:pPr>
    <w:rPr>
      <w:rFonts w:ascii="Calibri" w:hAnsi="Calibri" w:eastAsia="Calibri" w:cs="Calibri"/>
      <w:sz w:val="22"/>
      <w:szCs w:val="22"/>
      <w:lang w:val="hr-HR" w:eastAsia="ar-SA" w:bidi="ar-SA"/>
    </w:rPr>
  </w:style>
  <w:style w:type="paragraph" w:styleId="39">
    <w:name w:val="List Paragraph"/>
    <w:basedOn w:val="1"/>
    <w:qFormat/>
    <w:uiPriority w:val="34"/>
    <w:pPr>
      <w:ind w:left="720"/>
    </w:pPr>
  </w:style>
  <w:style w:type="character" w:customStyle="1" w:styleId="40">
    <w:name w:val="Tijelo teksta 3 Char"/>
    <w:link w:val="15"/>
    <w:qFormat/>
    <w:uiPriority w:val="0"/>
    <w:rPr>
      <w:rFonts w:eastAsia="Times New Roman"/>
      <w:sz w:val="16"/>
      <w:szCs w:val="16"/>
      <w:lang w:eastAsia="hr-HR"/>
    </w:rPr>
  </w:style>
  <w:style w:type="character" w:customStyle="1" w:styleId="41">
    <w:name w:val="Tekst balončića Char"/>
    <w:link w:val="14"/>
    <w:semiHidden/>
    <w:qFormat/>
    <w:uiPriority w:val="99"/>
    <w:rPr>
      <w:rFonts w:ascii="Segoe UI" w:hAnsi="Segoe UI" w:cs="Segoe UI"/>
      <w:sz w:val="18"/>
      <w:szCs w:val="18"/>
      <w:lang w:eastAsia="ar-SA"/>
    </w:rPr>
  </w:style>
  <w:style w:type="character" w:customStyle="1" w:styleId="42">
    <w:name w:val="Neriješeno spominjanje1"/>
    <w:semiHidden/>
    <w:unhideWhenUsed/>
    <w:qFormat/>
    <w:uiPriority w:val="99"/>
    <w:rPr>
      <w:color w:val="808080"/>
      <w:shd w:val="clear" w:color="auto" w:fill="E6E6E6"/>
    </w:rPr>
  </w:style>
  <w:style w:type="character" w:customStyle="1" w:styleId="43">
    <w:name w:val="Bez proreda Char"/>
    <w:link w:val="38"/>
    <w:qFormat/>
    <w:locked/>
    <w:uiPriority w:val="1"/>
    <w:rPr>
      <w:rFonts w:ascii="Calibri" w:hAnsi="Calibri" w:cs="Calibri"/>
      <w:sz w:val="22"/>
      <w:szCs w:val="22"/>
      <w:lang w:eastAsia="ar-SA"/>
    </w:rPr>
  </w:style>
  <w:style w:type="paragraph" w:customStyle="1" w:styleId="44">
    <w:name w:val="Tablica tijelo"/>
    <w:basedOn w:val="1"/>
    <w:qFormat/>
    <w:uiPriority w:val="0"/>
    <w:pPr>
      <w:keepNext/>
      <w:keepLines/>
      <w:spacing w:after="0" w:line="240" w:lineRule="auto"/>
      <w:jc w:val="center"/>
    </w:pPr>
    <w:rPr>
      <w:rFonts w:ascii="Arial" w:hAnsi="Arial" w:eastAsia="Times New Roman"/>
      <w:b/>
      <w:sz w:val="24"/>
      <w:szCs w:val="20"/>
    </w:rPr>
  </w:style>
  <w:style w:type="paragraph" w:customStyle="1" w:styleId="45">
    <w:name w:val="Default"/>
    <w:basedOn w:val="1"/>
    <w:qFormat/>
    <w:uiPriority w:val="0"/>
    <w:pPr>
      <w:autoSpaceDE w:val="0"/>
      <w:autoSpaceDN w:val="0"/>
      <w:spacing w:after="0" w:line="240" w:lineRule="auto"/>
    </w:pPr>
    <w:rPr>
      <w:rFonts w:cs="Calibri" w:eastAsiaTheme="minorHAnsi"/>
      <w:color w:val="000000"/>
      <w:sz w:val="24"/>
      <w:szCs w:val="24"/>
      <w:lang w:eastAsia="hr-HR"/>
    </w:rPr>
  </w:style>
  <w:style w:type="character" w:customStyle="1" w:styleId="46">
    <w:name w:val="Zaglavlje Char"/>
    <w:basedOn w:val="12"/>
    <w:link w:val="18"/>
    <w:qFormat/>
    <w:uiPriority w:val="99"/>
    <w:rPr>
      <w:rFonts w:ascii="Calibri" w:hAnsi="Calibri"/>
      <w:sz w:val="22"/>
      <w:szCs w:val="22"/>
      <w:lang w:eastAsia="en-US"/>
    </w:rPr>
  </w:style>
  <w:style w:type="character" w:customStyle="1" w:styleId="47">
    <w:name w:val="Podnožje Char"/>
    <w:basedOn w:val="12"/>
    <w:link w:val="17"/>
    <w:qFormat/>
    <w:uiPriority w:val="99"/>
    <w:rPr>
      <w:rFonts w:ascii="Calibri" w:hAnsi="Calibri"/>
      <w:sz w:val="22"/>
      <w:szCs w:val="22"/>
      <w:lang w:eastAsia="en-US"/>
    </w:rPr>
  </w:style>
  <w:style w:type="character" w:customStyle="1" w:styleId="48">
    <w:name w:val="Neriješeno spominjanje2"/>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6C84B-EF10-40C7-9926-28ED24168F9D}">
  <ds:schemaRefs/>
</ds:datastoreItem>
</file>

<file path=docProps/app.xml><?xml version="1.0" encoding="utf-8"?>
<Properties xmlns="http://schemas.openxmlformats.org/officeDocument/2006/extended-properties" xmlns:vt="http://schemas.openxmlformats.org/officeDocument/2006/docPropsVTypes">
  <Template>Normal</Template>
  <Pages>13</Pages>
  <Words>4168</Words>
  <Characters>23762</Characters>
  <Lines>198</Lines>
  <Paragraphs>55</Paragraphs>
  <TotalTime>729</TotalTime>
  <ScaleCrop>false</ScaleCrop>
  <LinksUpToDate>false</LinksUpToDate>
  <CharactersWithSpaces>27875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2020-03-20T11:01:00Z</dcterms:created>
  <dc:creator>Korisnik</dc:creator>
  <cp:lastModifiedBy>smz100</cp:lastModifiedBy>
  <cp:lastPrinted>2025-07-23T07:08:00Z</cp:lastPrinted>
  <dcterms:modified xsi:type="dcterms:W3CDTF">2025-07-28T08:52:25Z</dcterms:modified>
  <cp:revision>596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8896F209D7F14EED8FAF08CA9EC0E757</vt:lpwstr>
  </property>
</Properties>
</file>