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955C1" w14:textId="77777777" w:rsidR="00493383" w:rsidRDefault="00493383" w:rsidP="00493383">
      <w:pPr>
        <w:spacing w:after="0"/>
        <w:rPr>
          <w:i/>
          <w:color w:val="FF0000"/>
        </w:rPr>
      </w:pPr>
      <w:r>
        <w:rPr>
          <w:rFonts w:ascii="Tahoma" w:hAnsi="Tahoma" w:cs="Tahoma"/>
          <w:noProof/>
          <w:lang w:eastAsia="hr-HR"/>
        </w:rPr>
        <w:t xml:space="preserve">         </w:t>
      </w:r>
      <w:r>
        <w:rPr>
          <w:rFonts w:ascii="Tahoma" w:hAnsi="Tahoma" w:cs="Tahoma"/>
          <w:noProof/>
          <w:lang w:eastAsia="hr-HR"/>
        </w:rPr>
        <w:drawing>
          <wp:inline distT="0" distB="0" distL="0" distR="0" wp14:anchorId="4847B33C" wp14:editId="01B3DABE">
            <wp:extent cx="320040" cy="396240"/>
            <wp:effectExtent l="0" t="0" r="3810" b="381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5" t="-130" r="-165" b="-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</w:p>
    <w:p w14:paraId="3D4B8C6E" w14:textId="77777777" w:rsidR="00493383" w:rsidRDefault="00493383" w:rsidP="00493383">
      <w:pPr>
        <w:spacing w:after="0"/>
      </w:pPr>
      <w:r>
        <w:t>REPUBLIKA HRVATSKA</w:t>
      </w:r>
    </w:p>
    <w:p w14:paraId="16571E19" w14:textId="77777777" w:rsidR="00493383" w:rsidRDefault="00493383" w:rsidP="00493383">
      <w:pPr>
        <w:spacing w:after="0"/>
      </w:pPr>
      <w:r>
        <w:t>SISAČKO MOSLAVAČKA ŽUPANIJA</w:t>
      </w:r>
    </w:p>
    <w:p w14:paraId="272A5929" w14:textId="77777777" w:rsidR="00493383" w:rsidRDefault="00493383" w:rsidP="00493383">
      <w:pPr>
        <w:spacing w:after="0"/>
      </w:pPr>
      <w:r>
        <w:t>Upravni odjel za prostorno uređenje,</w:t>
      </w:r>
    </w:p>
    <w:p w14:paraId="1EAB3697" w14:textId="77777777" w:rsidR="00493383" w:rsidRDefault="00493383" w:rsidP="00493383">
      <w:pPr>
        <w:spacing w:after="0"/>
      </w:pPr>
      <w:r>
        <w:t>graditeljstvo i obnovu</w:t>
      </w:r>
    </w:p>
    <w:p w14:paraId="2959F747" w14:textId="77777777" w:rsidR="00493383" w:rsidRDefault="00493383" w:rsidP="00493383">
      <w:pPr>
        <w:spacing w:after="0"/>
        <w:rPr>
          <w:sz w:val="8"/>
          <w:szCs w:val="8"/>
        </w:rPr>
      </w:pPr>
    </w:p>
    <w:p w14:paraId="7B703003" w14:textId="77777777" w:rsidR="00493383" w:rsidRDefault="00493383" w:rsidP="00493383">
      <w:pPr>
        <w:spacing w:after="0"/>
      </w:pPr>
      <w:r>
        <w:t>KLASA:400-08/22-01/06</w:t>
      </w:r>
    </w:p>
    <w:p w14:paraId="19EEDF66" w14:textId="1BC67921" w:rsidR="00493383" w:rsidRDefault="00493383" w:rsidP="00493383">
      <w:pPr>
        <w:spacing w:after="0"/>
      </w:pPr>
      <w:r>
        <w:t>URBROJ:2176-08/01-22-5</w:t>
      </w:r>
    </w:p>
    <w:p w14:paraId="7BFD0CB7" w14:textId="3C5BF03B" w:rsidR="00493383" w:rsidRDefault="00493383" w:rsidP="00493383">
      <w:pPr>
        <w:spacing w:after="0"/>
      </w:pPr>
      <w:r>
        <w:t xml:space="preserve">Sisak, </w:t>
      </w:r>
      <w:r w:rsidR="00255B66">
        <w:t>9</w:t>
      </w:r>
      <w:r>
        <w:t>. prosinac 2022. godine</w:t>
      </w:r>
    </w:p>
    <w:p w14:paraId="35DDBF51" w14:textId="77777777" w:rsidR="00493383" w:rsidRDefault="00493383" w:rsidP="0049338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Upravni odjel za proračun, financije,</w:t>
      </w:r>
    </w:p>
    <w:p w14:paraId="17016391" w14:textId="77777777" w:rsidR="00493383" w:rsidRDefault="00493383" w:rsidP="0049338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javnu nabavu </w:t>
      </w:r>
    </w:p>
    <w:p w14:paraId="2B555CB0" w14:textId="77777777" w:rsidR="00493383" w:rsidRDefault="00493383" w:rsidP="00493383">
      <w:pPr>
        <w:spacing w:after="0"/>
      </w:pPr>
    </w:p>
    <w:p w14:paraId="04D18975" w14:textId="4D98F7E5" w:rsidR="00493383" w:rsidRDefault="00493383" w:rsidP="00493383">
      <w:pPr>
        <w:spacing w:after="0"/>
        <w:rPr>
          <w:b/>
        </w:rPr>
      </w:pPr>
      <w:r>
        <w:rPr>
          <w:b/>
        </w:rPr>
        <w:t xml:space="preserve">PREDMET:  Obrazloženje uz II. izmjene i dopune proračuna Upravnog odjela za prostorno uređenje,  </w:t>
      </w:r>
    </w:p>
    <w:p w14:paraId="759305D9" w14:textId="77777777" w:rsidR="00493383" w:rsidRDefault="00493383" w:rsidP="00493383">
      <w:pPr>
        <w:spacing w:after="0"/>
        <w:rPr>
          <w:b/>
        </w:rPr>
      </w:pPr>
      <w:r>
        <w:rPr>
          <w:b/>
        </w:rPr>
        <w:t xml:space="preserve">                      graditeljstvo i obnovu za 2022. godinu, daje se</w:t>
      </w:r>
    </w:p>
    <w:p w14:paraId="24544674" w14:textId="77777777" w:rsidR="00493383" w:rsidRDefault="00493383" w:rsidP="00493383">
      <w:pPr>
        <w:spacing w:after="0"/>
      </w:pPr>
    </w:p>
    <w:p w14:paraId="501F83EA" w14:textId="5C99265C" w:rsidR="00493383" w:rsidRDefault="00CC7EF6" w:rsidP="00493383">
      <w:pPr>
        <w:spacing w:after="0"/>
        <w:jc w:val="both"/>
      </w:pPr>
      <w:r>
        <w:t>Sukladno predloženim II. izmjenama i dopunama proračuna za 2022. godinu</w:t>
      </w:r>
      <w:r w:rsidR="00493383">
        <w:t xml:space="preserve"> daje se obrazloženja </w:t>
      </w:r>
      <w:r>
        <w:t xml:space="preserve">istoga za </w:t>
      </w:r>
      <w:r w:rsidR="00493383">
        <w:t>RAZDJEL 016- Upravni odjel za prostorno uređenje, graditeljstvo i obnovu (01601), te za proračunskog korisnika- JU Zavod za prostorno uređenje SMŽ (01602)</w:t>
      </w:r>
      <w:r>
        <w:t>, pa tako</w:t>
      </w:r>
      <w:r w:rsidR="00493383">
        <w:t>:</w:t>
      </w:r>
    </w:p>
    <w:p w14:paraId="6414958D" w14:textId="77777777" w:rsidR="00493383" w:rsidRPr="002710E1" w:rsidRDefault="00493383" w:rsidP="00493383">
      <w:pPr>
        <w:spacing w:after="0"/>
        <w:jc w:val="both"/>
        <w:rPr>
          <w:sz w:val="8"/>
          <w:szCs w:val="8"/>
        </w:rPr>
      </w:pPr>
    </w:p>
    <w:p w14:paraId="04BA317F" w14:textId="77777777" w:rsidR="00493383" w:rsidRPr="00DB58E5" w:rsidRDefault="00493383" w:rsidP="00493383">
      <w:pPr>
        <w:spacing w:after="0"/>
        <w:jc w:val="center"/>
        <w:rPr>
          <w:b/>
          <w:bCs/>
          <w:sz w:val="20"/>
          <w:szCs w:val="20"/>
        </w:rPr>
      </w:pPr>
      <w:r w:rsidRPr="00DB58E5">
        <w:rPr>
          <w:b/>
          <w:bCs/>
          <w:sz w:val="20"/>
          <w:szCs w:val="20"/>
        </w:rPr>
        <w:t>GLAVA 01601 – Upravni odjel za prostorno uređenje, graditeljstvo i obnovu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493383" w14:paraId="3197C230" w14:textId="77777777" w:rsidTr="00FC557C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97E7F" w14:textId="77777777" w:rsidR="00493383" w:rsidRDefault="00493383" w:rsidP="00FC557C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 1001</w:t>
            </w:r>
          </w:p>
          <w:p w14:paraId="6546B22A" w14:textId="77777777" w:rsidR="00493383" w:rsidRDefault="00493383" w:rsidP="00FC557C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Dokumenti prostornog uređenja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E1FA" w14:textId="77777777" w:rsidR="00493383" w:rsidRDefault="00493383" w:rsidP="00FC557C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232A" w14:textId="77777777" w:rsidR="00493383" w:rsidRDefault="00493383" w:rsidP="00FC557C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D8F3" w14:textId="77777777" w:rsidR="00493383" w:rsidRDefault="00493383" w:rsidP="00FC557C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Razlika </w:t>
            </w:r>
          </w:p>
        </w:tc>
      </w:tr>
      <w:tr w:rsidR="00493383" w14:paraId="5B6594A3" w14:textId="77777777" w:rsidTr="00FC557C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7219" w14:textId="77777777" w:rsidR="00493383" w:rsidRDefault="00493383" w:rsidP="00FC557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Aktivnost A 1000001 </w:t>
            </w:r>
          </w:p>
          <w:p w14:paraId="2082E793" w14:textId="77777777" w:rsidR="00493383" w:rsidRDefault="00493383" w:rsidP="00FC557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Prostorno uređenje i graditeljstvo</w:t>
            </w:r>
          </w:p>
          <w:p w14:paraId="58FAB89C" w14:textId="77777777" w:rsidR="00493383" w:rsidRDefault="00493383" w:rsidP="00FC557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1A15" w14:textId="26A64F0C" w:rsidR="00493383" w:rsidRPr="00493383" w:rsidRDefault="00493383" w:rsidP="00FC557C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 w:rsidRPr="00493383">
              <w:rPr>
                <w:b/>
                <w:bCs/>
                <w:sz w:val="18"/>
                <w:szCs w:val="18"/>
              </w:rPr>
              <w:t>290.000,00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5034" w14:textId="22E86CAB" w:rsidR="00493383" w:rsidRDefault="008C35CC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93AF" w14:textId="160D56D9" w:rsidR="00493383" w:rsidRDefault="00395FF0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-235.000,00</w:t>
            </w:r>
          </w:p>
        </w:tc>
      </w:tr>
      <w:tr w:rsidR="00493383" w14:paraId="649FD515" w14:textId="77777777" w:rsidTr="00FC557C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0551" w14:textId="72F319D7" w:rsidR="00493383" w:rsidRDefault="008C35CC" w:rsidP="00FC557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493383">
              <w:rPr>
                <w:sz w:val="18"/>
                <w:szCs w:val="18"/>
              </w:rPr>
              <w:t xml:space="preserve">z izvora </w:t>
            </w:r>
            <w:r>
              <w:rPr>
                <w:sz w:val="18"/>
                <w:szCs w:val="18"/>
              </w:rPr>
              <w:t>sredstava 1.1.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B769" w14:textId="59951605" w:rsidR="00493383" w:rsidRDefault="00493383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1FD1" w14:textId="1D921398" w:rsidR="00493383" w:rsidRDefault="00493383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8B9E" w14:textId="390690DB" w:rsidR="00493383" w:rsidRDefault="008C35CC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-235.000,00</w:t>
            </w:r>
          </w:p>
        </w:tc>
      </w:tr>
      <w:tr w:rsidR="00493383" w14:paraId="1A0F9A65" w14:textId="77777777" w:rsidTr="00FC557C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18EA" w14:textId="4C66CA0B" w:rsidR="00493383" w:rsidRDefault="00493383" w:rsidP="00FC557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 izvora </w:t>
            </w:r>
            <w:r w:rsidR="008C35CC">
              <w:rPr>
                <w:sz w:val="18"/>
                <w:szCs w:val="18"/>
              </w:rPr>
              <w:t xml:space="preserve">sredstava </w:t>
            </w:r>
            <w:r>
              <w:rPr>
                <w:sz w:val="18"/>
                <w:szCs w:val="18"/>
              </w:rPr>
              <w:t>4.3.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1D5" w14:textId="70D27EE6" w:rsidR="00493383" w:rsidRDefault="00493383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16A3" w14:textId="68D1C98C" w:rsidR="00493383" w:rsidRDefault="008C35CC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5863" w14:textId="599B51A4" w:rsidR="00493383" w:rsidRDefault="00493383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93383" w14:paraId="3E57EA46" w14:textId="77777777" w:rsidTr="00FC557C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D2A8" w14:textId="77777777" w:rsidR="00493383" w:rsidRPr="00880E11" w:rsidRDefault="00493383" w:rsidP="00FC557C">
            <w:pPr>
              <w:spacing w:after="0"/>
              <w:jc w:val="center"/>
              <w:rPr>
                <w:sz w:val="8"/>
                <w:szCs w:val="8"/>
              </w:rPr>
            </w:pPr>
          </w:p>
          <w:p w14:paraId="7878592F" w14:textId="77777777" w:rsidR="00493383" w:rsidRDefault="00493383" w:rsidP="00FC557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 A 100002</w:t>
            </w:r>
          </w:p>
          <w:p w14:paraId="3C025E54" w14:textId="021336BB" w:rsidR="00493383" w:rsidRDefault="00493383" w:rsidP="00FC557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približnih vrijednosti nekretnina</w:t>
            </w:r>
            <w:r w:rsidR="008C35CC">
              <w:rPr>
                <w:sz w:val="18"/>
                <w:szCs w:val="18"/>
              </w:rPr>
              <w:t xml:space="preserve"> (izvor 1.1.)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98E7" w14:textId="689FB6D8" w:rsidR="00493383" w:rsidRPr="008C35CC" w:rsidRDefault="00493383" w:rsidP="00FC557C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 w:rsidRPr="008C35CC">
              <w:rPr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AE56" w14:textId="426897A7" w:rsidR="00493383" w:rsidRDefault="00493383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D99C" w14:textId="1BDBDA7A" w:rsidR="00493383" w:rsidRDefault="00493383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-10.000,00</w:t>
            </w:r>
          </w:p>
        </w:tc>
      </w:tr>
      <w:tr w:rsidR="00493383" w14:paraId="4ECCEF46" w14:textId="77777777" w:rsidTr="00FC557C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4689" w14:textId="77777777" w:rsidR="00493383" w:rsidRPr="00880E11" w:rsidRDefault="00493383" w:rsidP="00FC557C">
            <w:pPr>
              <w:spacing w:after="0"/>
              <w:jc w:val="center"/>
              <w:rPr>
                <w:sz w:val="8"/>
                <w:szCs w:val="8"/>
              </w:rPr>
            </w:pPr>
          </w:p>
          <w:p w14:paraId="5775DE12" w14:textId="77777777" w:rsidR="00493383" w:rsidRDefault="00493383" w:rsidP="00FC557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Ukupno UO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2C62" w14:textId="7FD9864F" w:rsidR="00493383" w:rsidRPr="008C35CC" w:rsidRDefault="00493383" w:rsidP="00FC557C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 w:rsidRPr="008C35CC">
              <w:rPr>
                <w:b/>
                <w:bCs/>
                <w:sz w:val="18"/>
                <w:szCs w:val="18"/>
              </w:rPr>
              <w:t>300.000,00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8F42" w14:textId="5715FE2C" w:rsidR="00493383" w:rsidRPr="008C35CC" w:rsidRDefault="008C35CC" w:rsidP="00FC557C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 w:rsidRPr="008C35CC">
              <w:rPr>
                <w:b/>
                <w:bCs/>
                <w:sz w:val="18"/>
                <w:szCs w:val="18"/>
              </w:rPr>
              <w:t>55.000,00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A0C7" w14:textId="7EBA3B82" w:rsidR="00493383" w:rsidRDefault="008C35CC" w:rsidP="00FC557C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-245.000,00</w:t>
            </w:r>
          </w:p>
        </w:tc>
      </w:tr>
    </w:tbl>
    <w:p w14:paraId="2704295F" w14:textId="77777777" w:rsidR="00493383" w:rsidRDefault="00493383" w:rsidP="00493383">
      <w:pPr>
        <w:spacing w:after="0"/>
        <w:jc w:val="both"/>
        <w:rPr>
          <w:sz w:val="8"/>
          <w:szCs w:val="8"/>
        </w:rPr>
      </w:pPr>
    </w:p>
    <w:p w14:paraId="65B3EC4A" w14:textId="10DF83AB" w:rsidR="00493383" w:rsidRPr="00A67207" w:rsidRDefault="00CC7EF6" w:rsidP="00493383">
      <w:pPr>
        <w:tabs>
          <w:tab w:val="left" w:pos="3053"/>
        </w:tabs>
        <w:spacing w:after="0"/>
        <w:rPr>
          <w:rFonts w:cs="Calibri"/>
          <w:bCs/>
        </w:rPr>
      </w:pPr>
      <w:r>
        <w:rPr>
          <w:rFonts w:cs="Calibri"/>
          <w:bCs/>
        </w:rPr>
        <w:t xml:space="preserve">Upravni odjel ima samo jedan program i to: </w:t>
      </w:r>
      <w:r w:rsidR="00493383" w:rsidRPr="00A67207">
        <w:rPr>
          <w:rFonts w:cs="Calibri"/>
          <w:bCs/>
        </w:rPr>
        <w:t>Program prostorno uređenje i graditeljstvo</w:t>
      </w:r>
      <w:r>
        <w:rPr>
          <w:rFonts w:cs="Calibri"/>
          <w:bCs/>
        </w:rPr>
        <w:t xml:space="preserve"> koji</w:t>
      </w:r>
      <w:r w:rsidR="00493383" w:rsidRPr="00A67207">
        <w:rPr>
          <w:rFonts w:cs="Calibri"/>
          <w:bCs/>
        </w:rPr>
        <w:t xml:space="preserve"> obuhvaća nekoliko aktivnosti i to: </w:t>
      </w:r>
    </w:p>
    <w:p w14:paraId="10FD6F12" w14:textId="77777777" w:rsidR="008C35CC" w:rsidRPr="00CC7EF6" w:rsidRDefault="008C35CC" w:rsidP="00033AAC">
      <w:pPr>
        <w:pStyle w:val="Odlomakpopisa"/>
        <w:numPr>
          <w:ilvl w:val="0"/>
          <w:numId w:val="1"/>
        </w:numPr>
        <w:tabs>
          <w:tab w:val="left" w:pos="3053"/>
        </w:tabs>
        <w:spacing w:after="0"/>
        <w:jc w:val="both"/>
        <w:rPr>
          <w:rFonts w:cs="Calibri"/>
          <w:bCs/>
          <w:u w:val="single"/>
        </w:rPr>
      </w:pPr>
      <w:r w:rsidRPr="00CC7EF6">
        <w:rPr>
          <w:rFonts w:cs="Calibri"/>
          <w:bCs/>
          <w:u w:val="single"/>
        </w:rPr>
        <w:t xml:space="preserve">Aktivnost A 1000001 - </w:t>
      </w:r>
      <w:r w:rsidR="00493383" w:rsidRPr="00CC7EF6">
        <w:rPr>
          <w:rFonts w:cs="Calibri"/>
          <w:bCs/>
          <w:u w:val="single"/>
        </w:rPr>
        <w:t>Izrad</w:t>
      </w:r>
      <w:r w:rsidRPr="00CC7EF6">
        <w:rPr>
          <w:rFonts w:cs="Calibri"/>
          <w:bCs/>
          <w:u w:val="single"/>
        </w:rPr>
        <w:t>a</w:t>
      </w:r>
      <w:r w:rsidR="00493383" w:rsidRPr="00CC7EF6">
        <w:rPr>
          <w:rFonts w:cs="Calibri"/>
          <w:bCs/>
          <w:u w:val="single"/>
        </w:rPr>
        <w:t xml:space="preserve"> akata/dokumenata prostornog uređenja </w:t>
      </w:r>
    </w:p>
    <w:p w14:paraId="7CF23C1F" w14:textId="0D0FBC6B" w:rsidR="00033AAC" w:rsidRDefault="008C35CC" w:rsidP="00033AAC">
      <w:pPr>
        <w:pStyle w:val="Odlomakpopisa"/>
        <w:tabs>
          <w:tab w:val="left" w:pos="3053"/>
        </w:tabs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Kroz ovu aktivnost se provodi izrada prostorno planske dokumentacije. U</w:t>
      </w:r>
      <w:r w:rsidR="00493383" w:rsidRPr="00A67207">
        <w:rPr>
          <w:rFonts w:cs="Calibri"/>
          <w:bCs/>
        </w:rPr>
        <w:t xml:space="preserve"> tijeku je izrada IV. i V. izmjena i dopuna Prostornog plana Sisačko-moslavačke županije za što su </w:t>
      </w:r>
      <w:r w:rsidR="00493383">
        <w:rPr>
          <w:rFonts w:cs="Calibri"/>
          <w:bCs/>
        </w:rPr>
        <w:t xml:space="preserve">u prvom proračunu </w:t>
      </w:r>
      <w:r w:rsidR="00493383" w:rsidRPr="00A67207">
        <w:rPr>
          <w:rFonts w:cs="Calibri"/>
          <w:bCs/>
        </w:rPr>
        <w:t>bila planirana sredstva u iznosu od 100.000 kuna, no ista s</w:t>
      </w:r>
      <w:r w:rsidR="00493383">
        <w:rPr>
          <w:rFonts w:cs="Calibri"/>
          <w:bCs/>
        </w:rPr>
        <w:t>u na I. rebalansu</w:t>
      </w:r>
      <w:r w:rsidR="00493383" w:rsidRPr="00A67207">
        <w:rPr>
          <w:rFonts w:cs="Calibri"/>
          <w:bCs/>
        </w:rPr>
        <w:t xml:space="preserve"> smanj</w:t>
      </w:r>
      <w:r w:rsidR="00493383">
        <w:rPr>
          <w:rFonts w:cs="Calibri"/>
          <w:bCs/>
        </w:rPr>
        <w:t>ena na</w:t>
      </w:r>
      <w:r w:rsidR="00493383" w:rsidRPr="00A67207">
        <w:rPr>
          <w:rFonts w:cs="Calibri"/>
          <w:bCs/>
        </w:rPr>
        <w:t xml:space="preserve"> 50.000 kuna</w:t>
      </w:r>
      <w:r w:rsidR="00493383">
        <w:rPr>
          <w:rFonts w:cs="Calibri"/>
          <w:bCs/>
        </w:rPr>
        <w:t xml:space="preserve">. </w:t>
      </w:r>
      <w:r>
        <w:rPr>
          <w:rFonts w:cs="Calibri"/>
          <w:bCs/>
        </w:rPr>
        <w:t xml:space="preserve"> Kako je izrada planova u tijeku i nije završena, planirana sredstava neće biti potrebna do kraja 2022. godine.</w:t>
      </w:r>
      <w:r w:rsidR="00CC7EF6">
        <w:rPr>
          <w:rFonts w:cs="Calibri"/>
          <w:bCs/>
        </w:rPr>
        <w:t xml:space="preserve">  </w:t>
      </w:r>
      <w:r>
        <w:rPr>
          <w:rFonts w:cs="Calibri"/>
          <w:bCs/>
        </w:rPr>
        <w:t>U</w:t>
      </w:r>
      <w:r w:rsidR="00493383">
        <w:rPr>
          <w:rFonts w:cs="Calibri"/>
          <w:bCs/>
        </w:rPr>
        <w:t xml:space="preserve"> drugom polugodištu 2022. godine ukazala </w:t>
      </w:r>
      <w:r>
        <w:rPr>
          <w:rFonts w:cs="Calibri"/>
          <w:bCs/>
        </w:rPr>
        <w:t xml:space="preserve">se </w:t>
      </w:r>
      <w:r w:rsidR="00493383">
        <w:rPr>
          <w:rFonts w:cs="Calibri"/>
          <w:bCs/>
        </w:rPr>
        <w:t xml:space="preserve">potreba za </w:t>
      </w:r>
      <w:r>
        <w:rPr>
          <w:rFonts w:cs="Calibri"/>
          <w:bCs/>
        </w:rPr>
        <w:t>izmjenama drugih planova, konkretno izmjen</w:t>
      </w:r>
      <w:r w:rsidR="00033AAC">
        <w:rPr>
          <w:rFonts w:cs="Calibri"/>
          <w:bCs/>
        </w:rPr>
        <w:t>u</w:t>
      </w:r>
      <w:r>
        <w:rPr>
          <w:rFonts w:cs="Calibri"/>
          <w:bCs/>
        </w:rPr>
        <w:t xml:space="preserve"> </w:t>
      </w:r>
      <w:r w:rsidR="00033AAC">
        <w:rPr>
          <w:rFonts w:cs="Calibri"/>
          <w:bCs/>
        </w:rPr>
        <w:t xml:space="preserve">Urbanističkog plana uređenja Gospodarske zone Sisak jug. Izmjena ovog plana </w:t>
      </w:r>
      <w:r>
        <w:rPr>
          <w:rFonts w:cs="Calibri"/>
          <w:bCs/>
        </w:rPr>
        <w:t>je važn</w:t>
      </w:r>
      <w:r w:rsidR="00033AAC">
        <w:rPr>
          <w:rFonts w:cs="Calibri"/>
          <w:bCs/>
        </w:rPr>
        <w:t>a</w:t>
      </w:r>
      <w:r>
        <w:rPr>
          <w:rFonts w:cs="Calibri"/>
          <w:bCs/>
        </w:rPr>
        <w:t xml:space="preserve"> županiji zbog provedbe projekata</w:t>
      </w:r>
      <w:r w:rsidR="00033AAC">
        <w:rPr>
          <w:rFonts w:cs="Calibri"/>
          <w:bCs/>
        </w:rPr>
        <w:t xml:space="preserve"> uređenja Doma za starije u Željezari Sisak.</w:t>
      </w:r>
      <w:r>
        <w:rPr>
          <w:rFonts w:cs="Calibri"/>
          <w:bCs/>
        </w:rPr>
        <w:t xml:space="preserve"> </w:t>
      </w:r>
      <w:r w:rsidR="00033AAC">
        <w:rPr>
          <w:rFonts w:cs="Calibri"/>
          <w:bCs/>
        </w:rPr>
        <w:t xml:space="preserve"> Iz tog razloga županija je inicirala izradu izmjena i dopuna</w:t>
      </w:r>
      <w:r>
        <w:rPr>
          <w:rFonts w:cs="Calibri"/>
          <w:bCs/>
        </w:rPr>
        <w:t xml:space="preserve"> UPU Gospodarske zone Sisak jug, </w:t>
      </w:r>
      <w:r w:rsidR="00033AAC">
        <w:rPr>
          <w:rFonts w:cs="Calibri"/>
          <w:bCs/>
        </w:rPr>
        <w:t xml:space="preserve"> te su za isto osigurana sredstva u iznosu</w:t>
      </w:r>
      <w:r>
        <w:rPr>
          <w:rFonts w:cs="Calibri"/>
          <w:bCs/>
        </w:rPr>
        <w:t xml:space="preserve"> od 35.000,00 kuna</w:t>
      </w:r>
      <w:r w:rsidR="00CC7EF6">
        <w:rPr>
          <w:rFonts w:cs="Calibri"/>
          <w:bCs/>
        </w:rPr>
        <w:t xml:space="preserve"> na poziciji izrade akata i dokumenata prostornog uređenja.</w:t>
      </w:r>
    </w:p>
    <w:p w14:paraId="427CB75D" w14:textId="128062F0" w:rsidR="00493383" w:rsidRPr="00A67207" w:rsidRDefault="00EA1291" w:rsidP="00033AAC">
      <w:pPr>
        <w:pStyle w:val="Odlomakpopisa"/>
        <w:tabs>
          <w:tab w:val="left" w:pos="3053"/>
        </w:tabs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Sredstva z</w:t>
      </w:r>
      <w:r w:rsidR="008C35CC">
        <w:rPr>
          <w:rFonts w:cs="Calibri"/>
          <w:bCs/>
        </w:rPr>
        <w:t>a</w:t>
      </w:r>
      <w:r w:rsidR="00493383" w:rsidRPr="00A67207">
        <w:rPr>
          <w:rFonts w:cs="Calibri"/>
          <w:bCs/>
        </w:rPr>
        <w:t xml:space="preserve"> V. izmjene i dopune Prostornog plana </w:t>
      </w:r>
      <w:r w:rsidR="00033AAC">
        <w:rPr>
          <w:rFonts w:cs="Calibri"/>
          <w:bCs/>
        </w:rPr>
        <w:t xml:space="preserve">sredstva </w:t>
      </w:r>
      <w:r>
        <w:rPr>
          <w:rFonts w:cs="Calibri"/>
          <w:bCs/>
        </w:rPr>
        <w:t>(</w:t>
      </w:r>
      <w:r w:rsidR="00033AAC">
        <w:rPr>
          <w:rFonts w:cs="Calibri"/>
          <w:bCs/>
        </w:rPr>
        <w:t>troškov</w:t>
      </w:r>
      <w:r>
        <w:rPr>
          <w:rFonts w:cs="Calibri"/>
          <w:bCs/>
        </w:rPr>
        <w:t>i</w:t>
      </w:r>
      <w:r w:rsidR="00033AAC">
        <w:rPr>
          <w:rFonts w:cs="Calibri"/>
          <w:bCs/>
        </w:rPr>
        <w:t xml:space="preserve"> provedbe javnog uvida</w:t>
      </w:r>
      <w:r>
        <w:rPr>
          <w:rFonts w:cs="Calibri"/>
          <w:bCs/>
        </w:rPr>
        <w:t>,</w:t>
      </w:r>
      <w:r w:rsidR="00033AAC">
        <w:rPr>
          <w:rFonts w:cs="Calibri"/>
          <w:bCs/>
        </w:rPr>
        <w:t xml:space="preserve"> troškov</w:t>
      </w:r>
      <w:r>
        <w:rPr>
          <w:rFonts w:cs="Calibri"/>
          <w:bCs/>
        </w:rPr>
        <w:t>i</w:t>
      </w:r>
      <w:r w:rsidR="00033AAC">
        <w:rPr>
          <w:rFonts w:cs="Calibri"/>
          <w:bCs/>
        </w:rPr>
        <w:t xml:space="preserve"> stručnog povjerenstva za stratešku procjenu Plana</w:t>
      </w:r>
      <w:r>
        <w:rPr>
          <w:rFonts w:cs="Calibri"/>
          <w:bCs/>
        </w:rPr>
        <w:t xml:space="preserve"> i dr.)</w:t>
      </w:r>
      <w:r w:rsidR="00033AAC">
        <w:rPr>
          <w:rFonts w:cs="Calibri"/>
          <w:bCs/>
        </w:rPr>
        <w:t xml:space="preserve"> je osigurao podnositelj zaht</w:t>
      </w:r>
      <w:r>
        <w:rPr>
          <w:rFonts w:cs="Calibri"/>
          <w:bCs/>
        </w:rPr>
        <w:t>je</w:t>
      </w:r>
      <w:r w:rsidR="00033AAC">
        <w:rPr>
          <w:rFonts w:cs="Calibri"/>
          <w:bCs/>
        </w:rPr>
        <w:t xml:space="preserve">va </w:t>
      </w:r>
      <w:r w:rsidR="00493383" w:rsidRPr="00A67207">
        <w:rPr>
          <w:rFonts w:cs="Calibri"/>
          <w:bCs/>
        </w:rPr>
        <w:t>(sredstva s izvora 4.3.)</w:t>
      </w:r>
      <w:r w:rsidR="00033AAC">
        <w:rPr>
          <w:rFonts w:cs="Calibri"/>
          <w:bCs/>
        </w:rPr>
        <w:t>,</w:t>
      </w:r>
      <w:r>
        <w:rPr>
          <w:rFonts w:cs="Calibri"/>
          <w:bCs/>
        </w:rPr>
        <w:t xml:space="preserve"> te </w:t>
      </w:r>
      <w:r w:rsidR="00033AAC">
        <w:rPr>
          <w:rFonts w:cs="Calibri"/>
          <w:bCs/>
        </w:rPr>
        <w:t xml:space="preserve">su navedena sredstva u iznosu od </w:t>
      </w:r>
      <w:r w:rsidR="00493383" w:rsidRPr="00A67207">
        <w:rPr>
          <w:rFonts w:cs="Calibri"/>
          <w:bCs/>
        </w:rPr>
        <w:t>20.000 kuna namijenjen</w:t>
      </w:r>
      <w:r w:rsidR="00033AAC">
        <w:rPr>
          <w:rFonts w:cs="Calibri"/>
          <w:bCs/>
        </w:rPr>
        <w:t>a</w:t>
      </w:r>
      <w:r w:rsidR="00493383" w:rsidRPr="00A67207">
        <w:rPr>
          <w:rFonts w:cs="Calibri"/>
          <w:bCs/>
        </w:rPr>
        <w:t xml:space="preserve"> </w:t>
      </w:r>
      <w:r w:rsidR="00493383" w:rsidRPr="00A67207">
        <w:rPr>
          <w:rFonts w:cs="Calibri"/>
          <w:bCs/>
        </w:rPr>
        <w:lastRenderedPageBreak/>
        <w:t xml:space="preserve">za troškove donošenja Plana i Strateške procjene utjecaja na okoliš </w:t>
      </w:r>
      <w:r>
        <w:rPr>
          <w:rFonts w:cs="Calibri"/>
          <w:bCs/>
        </w:rPr>
        <w:t xml:space="preserve">ovog </w:t>
      </w:r>
      <w:r w:rsidR="00493383" w:rsidRPr="00A67207">
        <w:rPr>
          <w:rFonts w:cs="Calibri"/>
          <w:bCs/>
        </w:rPr>
        <w:t>Plana</w:t>
      </w:r>
      <w:r w:rsidR="00395FF0">
        <w:rPr>
          <w:rFonts w:cs="Calibri"/>
          <w:bCs/>
        </w:rPr>
        <w:t>, a utrošena su u iznosu od 3.876,47 kuna do dana izrade rebalansa.</w:t>
      </w:r>
    </w:p>
    <w:p w14:paraId="45933484" w14:textId="35FB1AA6" w:rsidR="00493383" w:rsidRDefault="00CC7EF6" w:rsidP="00033AAC">
      <w:pPr>
        <w:pStyle w:val="Odlomakpopisa"/>
        <w:numPr>
          <w:ilvl w:val="0"/>
          <w:numId w:val="1"/>
        </w:numPr>
        <w:tabs>
          <w:tab w:val="left" w:pos="3053"/>
        </w:tabs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Aktivnost A1000002 -</w:t>
      </w:r>
      <w:r w:rsidR="00493383" w:rsidRPr="00A67207">
        <w:rPr>
          <w:rFonts w:cs="Calibri"/>
          <w:bCs/>
        </w:rPr>
        <w:t>Izrada Plana približnih vrijednosti nekretnina</w:t>
      </w:r>
      <w:r>
        <w:rPr>
          <w:rFonts w:cs="Calibri"/>
          <w:bCs/>
        </w:rPr>
        <w:t>. Ovo je</w:t>
      </w:r>
      <w:r w:rsidR="00493383" w:rsidRPr="00A67207">
        <w:rPr>
          <w:rFonts w:cs="Calibri"/>
          <w:bCs/>
        </w:rPr>
        <w:t xml:space="preserve"> aktivnost koja je utemeljena na Zakonu o procjeni vrijednosti nekretnina, te je za izradu</w:t>
      </w:r>
      <w:r>
        <w:rPr>
          <w:rFonts w:cs="Calibri"/>
          <w:bCs/>
        </w:rPr>
        <w:t xml:space="preserve"> Plana približnih vrijednosti nekretnina bio </w:t>
      </w:r>
      <w:r w:rsidR="00493383" w:rsidRPr="00A67207">
        <w:rPr>
          <w:rFonts w:cs="Calibri"/>
          <w:bCs/>
        </w:rPr>
        <w:t>planiran</w:t>
      </w:r>
      <w:r>
        <w:rPr>
          <w:rFonts w:cs="Calibri"/>
          <w:bCs/>
        </w:rPr>
        <w:t xml:space="preserve"> početni </w:t>
      </w:r>
      <w:r w:rsidR="00493383" w:rsidRPr="00A67207">
        <w:rPr>
          <w:rFonts w:cs="Calibri"/>
          <w:bCs/>
        </w:rPr>
        <w:t>iznos od 100.000 kuna</w:t>
      </w:r>
      <w:r>
        <w:rPr>
          <w:rFonts w:cs="Calibri"/>
          <w:bCs/>
        </w:rPr>
        <w:t xml:space="preserve">. Navedeni iznos </w:t>
      </w:r>
      <w:r w:rsidR="00493383" w:rsidRPr="00A67207">
        <w:rPr>
          <w:rFonts w:cs="Calibri"/>
          <w:bCs/>
        </w:rPr>
        <w:t xml:space="preserve">je </w:t>
      </w:r>
      <w:r>
        <w:rPr>
          <w:rFonts w:cs="Calibri"/>
          <w:bCs/>
        </w:rPr>
        <w:t xml:space="preserve">na I. izmjenama i dopunama proračuna za 2022. </w:t>
      </w:r>
      <w:r w:rsidR="00493383" w:rsidRPr="00A67207">
        <w:rPr>
          <w:rFonts w:cs="Calibri"/>
          <w:bCs/>
        </w:rPr>
        <w:t>smanjen na 10.000 kuna</w:t>
      </w:r>
      <w:r>
        <w:rPr>
          <w:rFonts w:cs="Calibri"/>
          <w:bCs/>
        </w:rPr>
        <w:t xml:space="preserve">, dok se sredstva na  ovim II. izmjenama i dopunama proračuna ukidaju, jer ista neće biti potrebna do kraja 2022. godine, budući da će navedeni </w:t>
      </w:r>
      <w:r w:rsidR="00493383" w:rsidRPr="00A67207">
        <w:rPr>
          <w:rFonts w:cs="Calibri"/>
          <w:bCs/>
        </w:rPr>
        <w:t>dokument</w:t>
      </w:r>
      <w:r>
        <w:rPr>
          <w:rFonts w:cs="Calibri"/>
          <w:bCs/>
        </w:rPr>
        <w:t xml:space="preserve"> izraditi službenici Upravnog odjela.</w:t>
      </w:r>
    </w:p>
    <w:p w14:paraId="3B527B9A" w14:textId="77777777" w:rsidR="00493383" w:rsidRPr="002710E1" w:rsidRDefault="00493383" w:rsidP="00033AAC">
      <w:pPr>
        <w:tabs>
          <w:tab w:val="left" w:pos="3053"/>
        </w:tabs>
        <w:spacing w:after="0"/>
        <w:jc w:val="both"/>
        <w:rPr>
          <w:rFonts w:cs="Calibri"/>
          <w:bCs/>
          <w:sz w:val="8"/>
          <w:szCs w:val="8"/>
        </w:rPr>
      </w:pPr>
    </w:p>
    <w:p w14:paraId="665CA001" w14:textId="3E775F54" w:rsidR="00493383" w:rsidRPr="002710E1" w:rsidRDefault="00493383" w:rsidP="00033AAC">
      <w:pPr>
        <w:tabs>
          <w:tab w:val="left" w:pos="3053"/>
        </w:tabs>
        <w:spacing w:after="0"/>
        <w:jc w:val="both"/>
        <w:rPr>
          <w:rFonts w:cs="Calibri"/>
          <w:bCs/>
        </w:rPr>
      </w:pPr>
      <w:r w:rsidRPr="002710E1">
        <w:rPr>
          <w:rFonts w:cs="Calibri"/>
          <w:bCs/>
        </w:rPr>
        <w:t xml:space="preserve">DETALJNO OBRAZLOŽENJE </w:t>
      </w:r>
      <w:r w:rsidR="00CC7EF6">
        <w:rPr>
          <w:rFonts w:cs="Calibri"/>
          <w:bCs/>
        </w:rPr>
        <w:t xml:space="preserve">II. </w:t>
      </w:r>
      <w:r w:rsidRPr="002710E1">
        <w:rPr>
          <w:rFonts w:cs="Calibri"/>
          <w:bCs/>
        </w:rPr>
        <w:t>IZMJENA I DOPUNA PRORAČUNA UO ZA 2022. GODINU PO STAVKAMA: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641"/>
      </w:tblGrid>
      <w:tr w:rsidR="00493383" w:rsidRPr="00E325E8" w14:paraId="0116D4FE" w14:textId="77777777" w:rsidTr="00FC557C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733722" w14:textId="77777777" w:rsidR="00493383" w:rsidRPr="00E325E8" w:rsidRDefault="00493383" w:rsidP="00033AA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bookmarkStart w:id="0" w:name="_Hlk121220321"/>
            <w:r w:rsidRPr="00E325E8">
              <w:rPr>
                <w:rFonts w:cs="Calibri"/>
                <w:b/>
                <w:sz w:val="20"/>
                <w:szCs w:val="20"/>
              </w:rPr>
              <w:t>RAZDJEL 016 – GLAVA 01601: Upravni odjel za prostorno uređenje, graditeljstvo i zaštitu okoliša</w:t>
            </w:r>
          </w:p>
        </w:tc>
      </w:tr>
      <w:tr w:rsidR="00493383" w:rsidRPr="00E325E8" w14:paraId="6707FF87" w14:textId="77777777" w:rsidTr="00FC557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F5CC3E" w14:textId="77777777" w:rsidR="00493383" w:rsidRPr="00E325E8" w:rsidRDefault="00493383" w:rsidP="00033AA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STAVKA PRORAČUNA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A95AA9" w14:textId="104D19CF" w:rsidR="00493383" w:rsidRPr="00E325E8" w:rsidRDefault="00493383" w:rsidP="00033AA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OBRAZLOŽENJE ZA IZMJENU (rebalans</w:t>
            </w:r>
            <w:r w:rsidR="0079252B">
              <w:rPr>
                <w:rFonts w:cs="Calibri"/>
                <w:b/>
                <w:sz w:val="20"/>
                <w:szCs w:val="20"/>
              </w:rPr>
              <w:t xml:space="preserve"> II.</w:t>
            </w:r>
            <w:r w:rsidRPr="00E325E8">
              <w:rPr>
                <w:rFonts w:cs="Calibri"/>
                <w:b/>
                <w:sz w:val="20"/>
                <w:szCs w:val="20"/>
              </w:rPr>
              <w:t>)</w:t>
            </w:r>
          </w:p>
        </w:tc>
      </w:tr>
      <w:tr w:rsidR="00493383" w:rsidRPr="00E325E8" w14:paraId="5BAA7F2A" w14:textId="77777777" w:rsidTr="00FC557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BABB" w14:textId="77777777" w:rsidR="00493383" w:rsidRPr="00E325E8" w:rsidRDefault="00493383" w:rsidP="00033AA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Naziv programa: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65DB" w14:textId="77777777" w:rsidR="00493383" w:rsidRPr="00E325E8" w:rsidRDefault="00493383" w:rsidP="00033AA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1001 Dokumenti prostornog uređenja</w:t>
            </w:r>
          </w:p>
        </w:tc>
      </w:tr>
      <w:bookmarkEnd w:id="0"/>
      <w:tr w:rsidR="00493383" w:rsidRPr="00E325E8" w14:paraId="115A8192" w14:textId="77777777" w:rsidTr="00FC557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4ACC" w14:textId="77777777" w:rsidR="00493383" w:rsidRPr="00E325E8" w:rsidRDefault="00493383" w:rsidP="00FC557C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3419" w14:textId="60F8BCBD" w:rsidR="00493383" w:rsidRPr="00E325E8" w:rsidRDefault="00493383" w:rsidP="00FC557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>Planirana sredstva za izradu akata/dokumenata prostornog uređenja i gradnje se umanjuju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 xml:space="preserve"> na 35.000 kuna,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 jer će novo-planirana sredstva biti dostatna za izradu plan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 xml:space="preserve">skih dokumenata čiju je izradu inicirala 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>Sisačko-moslavačk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>a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 županij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>a, a  radi se o II. izmjenama i dopunama Urbanističkog plana uređenja Gospodarske zone Sisak jug. Izmjene su tražene zbog nemogućnosti provedbe projekta Doma za starije u Željezari Sisak  po postojećem planu.</w:t>
            </w:r>
          </w:p>
        </w:tc>
      </w:tr>
      <w:tr w:rsidR="00493383" w:rsidRPr="00E325E8" w14:paraId="318978C8" w14:textId="77777777" w:rsidTr="00FC557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363" w14:textId="77777777" w:rsidR="00493383" w:rsidRPr="00E325E8" w:rsidRDefault="00493383" w:rsidP="00FC557C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R2633-2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8364" w14:textId="69163D54" w:rsidR="00493383" w:rsidRPr="00E325E8" w:rsidRDefault="00493383" w:rsidP="00FC557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>Sredstva namijenjena za izradu Strateške studije utjecaja na okoliš IV. izmjena i dopuna Prostornog plana županije u iznosu od 200.000,00 kn se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 xml:space="preserve"> ukidaju, jer navedeni postupak neće biti završen do kraja 2022. godine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>.</w:t>
            </w:r>
          </w:p>
        </w:tc>
      </w:tr>
      <w:tr w:rsidR="00493383" w:rsidRPr="00E325E8" w14:paraId="28CB84DF" w14:textId="77777777" w:rsidTr="00FC557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6840" w14:textId="77777777" w:rsidR="00493383" w:rsidRPr="00E325E8" w:rsidRDefault="00493383" w:rsidP="00FC557C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R2633-3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FB0" w14:textId="2A232C94" w:rsidR="00493383" w:rsidRPr="00E325E8" w:rsidRDefault="00493383" w:rsidP="00FC557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Sredstva za provedbu postupaka javnog uvida i rasprave u iznosu od 20.000,00 kn se 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>ukidaju, jer postupak javnog uvida i rasprave za IV. izmjene i dopune Prostornog plana SMŽ neće biti proveden do kraja 2022. godine, te sredstva za isto neće biti potrebna.</w:t>
            </w:r>
          </w:p>
        </w:tc>
      </w:tr>
      <w:tr w:rsidR="00493383" w:rsidRPr="00E325E8" w14:paraId="6A49F5D1" w14:textId="77777777" w:rsidTr="00FC557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3901" w14:textId="77777777" w:rsidR="00493383" w:rsidRPr="00E325E8" w:rsidRDefault="00493383" w:rsidP="00FC557C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R2633-6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949C" w14:textId="44219320" w:rsidR="00493383" w:rsidRPr="00E325E8" w:rsidRDefault="00493383" w:rsidP="00FC557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>Sredstva iz izvora 4.3. (prihod za posebne namjene) su sredstva namijenjena za troškove članova Stručnog povjerenstva za stratešku procjenu utjecaja na okoliš V. izmjena i dopuna Prostornog plana SMŽ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>, te se ista ne mijenjaju</w:t>
            </w:r>
            <w:r w:rsidR="00395FF0">
              <w:rPr>
                <w:rFonts w:cs="Calibri"/>
                <w:sz w:val="20"/>
                <w:szCs w:val="20"/>
                <w:lang w:eastAsia="hr-HR"/>
              </w:rPr>
              <w:t>.</w:t>
            </w:r>
          </w:p>
        </w:tc>
      </w:tr>
      <w:tr w:rsidR="00493383" w:rsidRPr="00E325E8" w14:paraId="23DA34A4" w14:textId="77777777" w:rsidTr="00FC557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4844" w14:textId="77777777" w:rsidR="00493383" w:rsidRPr="00E325E8" w:rsidRDefault="00493383" w:rsidP="00FC557C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R2635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91D69" w14:textId="27C88DC9" w:rsidR="00493383" w:rsidRPr="00E325E8" w:rsidRDefault="00493383" w:rsidP="00FC557C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Sredstva za izradu Plana približnih vrijednosti nekretnina na području SMŽ se 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>ukidaju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 jer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 xml:space="preserve"> je planirano da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 će</w:t>
            </w:r>
            <w:r w:rsidR="00CC7EF6">
              <w:rPr>
                <w:rFonts w:cs="Calibri"/>
                <w:sz w:val="20"/>
                <w:szCs w:val="20"/>
                <w:lang w:eastAsia="hr-HR"/>
              </w:rPr>
              <w:t xml:space="preserve"> službenici Upravnog odjela izraditi 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>dokument</w:t>
            </w:r>
            <w:r w:rsidR="00255B66">
              <w:rPr>
                <w:rFonts w:cs="Calibri"/>
                <w:sz w:val="20"/>
                <w:szCs w:val="20"/>
                <w:lang w:eastAsia="hr-HR"/>
              </w:rPr>
              <w:t xml:space="preserve"> do kraja 2022. godine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>.</w:t>
            </w:r>
          </w:p>
        </w:tc>
      </w:tr>
    </w:tbl>
    <w:p w14:paraId="052235D9" w14:textId="53F41C94" w:rsidR="00493383" w:rsidRDefault="00493383" w:rsidP="00493383">
      <w:pPr>
        <w:tabs>
          <w:tab w:val="left" w:pos="3053"/>
        </w:tabs>
        <w:spacing w:after="0"/>
        <w:rPr>
          <w:rFonts w:cs="Calibri"/>
        </w:rPr>
      </w:pPr>
      <w:r>
        <w:rPr>
          <w:rFonts w:cs="Calibri"/>
        </w:rPr>
        <w:t xml:space="preserve">Obrazloženje za Upravni odjel za prostorno uređenje, graditeljstvo i obnovu daje pročelnica Blanka Bobetko Majstorović, dipl. ing. </w:t>
      </w:r>
      <w:proofErr w:type="spellStart"/>
      <w:r>
        <w:rPr>
          <w:rFonts w:cs="Calibri"/>
        </w:rPr>
        <w:t>biol</w:t>
      </w:r>
      <w:proofErr w:type="spellEnd"/>
      <w:r>
        <w:rPr>
          <w:rFonts w:cs="Calibri"/>
        </w:rPr>
        <w:t xml:space="preserve">. </w:t>
      </w:r>
    </w:p>
    <w:p w14:paraId="0C787723" w14:textId="54C97B2D" w:rsidR="00493383" w:rsidRDefault="00493383" w:rsidP="00493383">
      <w:pPr>
        <w:tabs>
          <w:tab w:val="left" w:pos="3053"/>
        </w:tabs>
        <w:spacing w:after="0"/>
        <w:rPr>
          <w:rFonts w:cs="Calibri"/>
        </w:rPr>
      </w:pPr>
    </w:p>
    <w:p w14:paraId="0E0D18D1" w14:textId="77777777" w:rsidR="00EF21A4" w:rsidRPr="00DB58E5" w:rsidRDefault="00EF21A4" w:rsidP="00EF21A4">
      <w:pPr>
        <w:tabs>
          <w:tab w:val="left" w:pos="3053"/>
        </w:tabs>
        <w:spacing w:after="0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GLAVA</w:t>
      </w:r>
      <w:r w:rsidRPr="00DB58E5">
        <w:rPr>
          <w:rFonts w:cs="Calibri"/>
          <w:b/>
          <w:bCs/>
          <w:sz w:val="20"/>
          <w:szCs w:val="20"/>
        </w:rPr>
        <w:t xml:space="preserve"> 01602 </w:t>
      </w:r>
      <w:r>
        <w:rPr>
          <w:rFonts w:cs="Calibri"/>
          <w:b/>
          <w:bCs/>
          <w:sz w:val="20"/>
          <w:szCs w:val="20"/>
        </w:rPr>
        <w:t xml:space="preserve">- </w:t>
      </w:r>
      <w:r w:rsidRPr="00DB58E5">
        <w:rPr>
          <w:rFonts w:cs="Calibri"/>
          <w:b/>
          <w:bCs/>
          <w:sz w:val="20"/>
          <w:szCs w:val="20"/>
        </w:rPr>
        <w:t xml:space="preserve">Zavod za prostorno </w:t>
      </w:r>
      <w:bookmarkStart w:id="1" w:name="_Hlk121317282"/>
      <w:r w:rsidRPr="00DB58E5">
        <w:rPr>
          <w:rFonts w:cs="Calibri"/>
          <w:b/>
          <w:bCs/>
          <w:sz w:val="20"/>
          <w:szCs w:val="20"/>
        </w:rPr>
        <w:t>uređenje</w:t>
      </w:r>
      <w:r>
        <w:rPr>
          <w:rFonts w:cs="Calibri"/>
          <w:b/>
          <w:bCs/>
          <w:sz w:val="20"/>
          <w:szCs w:val="20"/>
        </w:rPr>
        <w:t xml:space="preserve"> Sisačko-moslavačke županije</w:t>
      </w:r>
      <w:bookmarkEnd w:id="1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EF21A4" w14:paraId="1A89B49E" w14:textId="77777777" w:rsidTr="00B62657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B396" w14:textId="77777777" w:rsidR="00EF21A4" w:rsidRDefault="00EF21A4" w:rsidP="00B62657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 1004</w:t>
            </w:r>
          </w:p>
          <w:p w14:paraId="1C5F5B09" w14:textId="77777777" w:rsidR="00EF21A4" w:rsidRDefault="00EF21A4" w:rsidP="00B62657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Javna uprava i administracija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1E12" w14:textId="77777777" w:rsidR="00EF21A4" w:rsidRDefault="00EF21A4" w:rsidP="00B62657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5C0D" w14:textId="77777777" w:rsidR="00EF21A4" w:rsidRDefault="00EF21A4" w:rsidP="00B62657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22B74" w14:textId="77777777" w:rsidR="00EF21A4" w:rsidRDefault="00EF21A4" w:rsidP="00B62657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Razlika </w:t>
            </w:r>
          </w:p>
        </w:tc>
      </w:tr>
      <w:tr w:rsidR="00EF21A4" w14:paraId="3BFB8BAA" w14:textId="77777777" w:rsidTr="00B6265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E312" w14:textId="77777777" w:rsidR="00EF21A4" w:rsidRDefault="00EF21A4" w:rsidP="00B6265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Aktivnost A 1000001 </w:t>
            </w:r>
          </w:p>
          <w:p w14:paraId="2E2E02EE" w14:textId="77777777" w:rsidR="00EF21A4" w:rsidRDefault="00EF21A4" w:rsidP="00B6265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Izvršna uprava i administracija Zavoda</w:t>
            </w:r>
          </w:p>
          <w:p w14:paraId="363332B0" w14:textId="77777777" w:rsidR="00EF21A4" w:rsidRDefault="00EF21A4" w:rsidP="00B6265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5B0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2.904.242,00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3347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2.770.050,00</w:t>
            </w:r>
          </w:p>
          <w:p w14:paraId="641C0BAC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C072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-134.192,00</w:t>
            </w:r>
          </w:p>
        </w:tc>
      </w:tr>
      <w:tr w:rsidR="00EF21A4" w14:paraId="0380CBA1" w14:textId="77777777" w:rsidTr="00B6265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BFB7" w14:textId="77777777" w:rsidR="00EF21A4" w:rsidRDefault="00EF21A4" w:rsidP="00B6265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 izvora 1.1.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A9D9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2.494.192,00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9F8F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2.359.600,12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ED7E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-134.591,88</w:t>
            </w:r>
          </w:p>
        </w:tc>
      </w:tr>
      <w:tr w:rsidR="00EF21A4" w14:paraId="62A08551" w14:textId="77777777" w:rsidTr="00B6265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833A" w14:textId="77777777" w:rsidR="00EF21A4" w:rsidRDefault="00EF21A4" w:rsidP="00B6265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 izvora 5.2.2.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3A90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6EC4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50.699,88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47D8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20.699,88</w:t>
            </w:r>
          </w:p>
          <w:p w14:paraId="1A6CFFDD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EF21A4" w14:paraId="617903DB" w14:textId="77777777" w:rsidTr="00B6265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71EE" w14:textId="77777777" w:rsidR="00EF21A4" w:rsidRDefault="00EF21A4" w:rsidP="00B6265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 izvora 3.1.1.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AD1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380.050,00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1838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359.750,00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372" w14:textId="77777777" w:rsidR="00EF21A4" w:rsidRDefault="00EF21A4" w:rsidP="00B6265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-20.300,00</w:t>
            </w:r>
          </w:p>
        </w:tc>
      </w:tr>
    </w:tbl>
    <w:p w14:paraId="7A95C16C" w14:textId="77777777" w:rsidR="00EF21A4" w:rsidRPr="00E325E8" w:rsidRDefault="00EF21A4" w:rsidP="00EF21A4">
      <w:pPr>
        <w:tabs>
          <w:tab w:val="left" w:pos="3053"/>
        </w:tabs>
        <w:spacing w:after="0"/>
        <w:rPr>
          <w:rFonts w:cs="Calibri"/>
          <w:sz w:val="8"/>
          <w:szCs w:val="8"/>
        </w:rPr>
      </w:pPr>
    </w:p>
    <w:p w14:paraId="5E2A3668" w14:textId="77777777" w:rsidR="00EF21A4" w:rsidRDefault="00EF21A4" w:rsidP="00EF21A4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Planirana sredstva Zavoda za prostorno </w:t>
      </w:r>
      <w:r w:rsidRPr="00B278EB">
        <w:rPr>
          <w:rFonts w:cs="Calibri"/>
        </w:rPr>
        <w:t>uređenje Sisačko-moslavačke županije</w:t>
      </w:r>
      <w:r>
        <w:rPr>
          <w:rFonts w:cs="Calibri"/>
        </w:rPr>
        <w:t xml:space="preserve"> u II. izmjenama i dopunama proračuna za 2022. godinu umanjuju se za 134.192,00  kuna. Ukupno smanjenje sredstava </w:t>
      </w:r>
      <w:r>
        <w:rPr>
          <w:rFonts w:cs="Calibri"/>
        </w:rPr>
        <w:lastRenderedPageBreak/>
        <w:t xml:space="preserve">iz nadležnog proračuna u II. izmjenama i dopunama financijskog plana Zavoda za prostorno uređenje Sisačko-moslavačke županije je </w:t>
      </w:r>
      <w:r>
        <w:rPr>
          <w:rFonts w:cs="Calibri"/>
          <w:b/>
        </w:rPr>
        <w:t xml:space="preserve">134.591,88 </w:t>
      </w:r>
      <w:r>
        <w:rPr>
          <w:rFonts w:cs="Calibri"/>
        </w:rPr>
        <w:t xml:space="preserve"> kn.</w:t>
      </w:r>
    </w:p>
    <w:p w14:paraId="14761C76" w14:textId="77777777" w:rsidR="00EF21A4" w:rsidRDefault="00EF21A4" w:rsidP="00EF21A4">
      <w:pPr>
        <w:spacing w:after="0"/>
        <w:jc w:val="center"/>
        <w:rPr>
          <w:rFonts w:cs="Calibri"/>
        </w:rPr>
      </w:pPr>
    </w:p>
    <w:p w14:paraId="122E84D5" w14:textId="77777777" w:rsidR="00EF21A4" w:rsidRPr="002710E1" w:rsidRDefault="00EF21A4" w:rsidP="00EF21A4">
      <w:pPr>
        <w:tabs>
          <w:tab w:val="left" w:pos="3053"/>
        </w:tabs>
        <w:spacing w:after="0"/>
        <w:rPr>
          <w:rFonts w:cs="Calibri"/>
          <w:sz w:val="8"/>
          <w:szCs w:val="8"/>
        </w:rPr>
      </w:pPr>
      <w:r>
        <w:rPr>
          <w:rFonts w:cs="Calibri"/>
        </w:rPr>
        <w:tab/>
      </w:r>
    </w:p>
    <w:p w14:paraId="1DAA8811" w14:textId="77777777" w:rsidR="00EF21A4" w:rsidRDefault="00EF21A4" w:rsidP="00EF21A4">
      <w:pPr>
        <w:tabs>
          <w:tab w:val="left" w:pos="3053"/>
        </w:tabs>
        <w:spacing w:after="0"/>
        <w:jc w:val="center"/>
        <w:rPr>
          <w:rFonts w:cs="Calibri"/>
          <w:bCs/>
        </w:rPr>
      </w:pPr>
      <w:r w:rsidRPr="002710E1">
        <w:rPr>
          <w:rFonts w:cs="Calibri"/>
          <w:bCs/>
        </w:rPr>
        <w:t>DETALJNO OBRAZLOŽENJE IZMJENA I DOPUNA PRORAČUNA UO ZA 2022. GODINU PO STAVKAMA: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190"/>
      </w:tblGrid>
      <w:tr w:rsidR="00EF21A4" w14:paraId="5FF6F991" w14:textId="77777777" w:rsidTr="00B62657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14:paraId="3232BFDB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RAZDJEL 016 – GLAVA 01602 Zavod za prostorno uređenje SMŽ</w:t>
            </w:r>
          </w:p>
        </w:tc>
      </w:tr>
      <w:tr w:rsidR="00EF21A4" w14:paraId="4A731B39" w14:textId="77777777" w:rsidTr="00B62657">
        <w:trPr>
          <w:cantSplit/>
          <w:trHeight w:val="135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20D114AE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STAVKA PRORAČUNA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10132B5C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OBRAZLOŽENJE ZA IZMJENE (rebalans II.)</w:t>
            </w:r>
          </w:p>
        </w:tc>
      </w:tr>
      <w:tr w:rsidR="00EF21A4" w14:paraId="611BA544" w14:textId="77777777" w:rsidTr="00B62657">
        <w:trPr>
          <w:trHeight w:val="384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3964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Naziv programa: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8972" w14:textId="77777777" w:rsidR="00EF21A4" w:rsidRDefault="00EF21A4" w:rsidP="00B62657">
            <w:pPr>
              <w:spacing w:after="0"/>
              <w:jc w:val="both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hr-HR"/>
              </w:rPr>
              <w:t>1004 Javna uprava i administracija Zavoda</w:t>
            </w:r>
          </w:p>
        </w:tc>
      </w:tr>
      <w:tr w:rsidR="00EF21A4" w:rsidRPr="00880E11" w14:paraId="6A7EE064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0D26" w14:textId="77777777" w:rsidR="00EF21A4" w:rsidRPr="00E325E8" w:rsidRDefault="00EF21A4" w:rsidP="00B62657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56C7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EF21A4" w:rsidRPr="00880E11" w14:paraId="29FF7476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3CD7" w14:textId="77777777" w:rsidR="00EF21A4" w:rsidRPr="00880E11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880E11">
              <w:rPr>
                <w:rFonts w:cs="Calibri"/>
                <w:b/>
                <w:sz w:val="20"/>
                <w:szCs w:val="20"/>
              </w:rPr>
              <w:t>R2663</w:t>
            </w:r>
          </w:p>
          <w:p w14:paraId="7FF1B5C8" w14:textId="77777777" w:rsidR="00EF21A4" w:rsidRPr="00880E11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880E11">
              <w:rPr>
                <w:rFonts w:cs="Calibri"/>
                <w:b/>
                <w:sz w:val="20"/>
                <w:szCs w:val="20"/>
              </w:rPr>
              <w:t>R2665</w:t>
            </w:r>
          </w:p>
          <w:p w14:paraId="76D7A3E7" w14:textId="77777777" w:rsidR="00EF21A4" w:rsidRPr="00E325E8" w:rsidRDefault="00EF21A4" w:rsidP="00B62657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880E11">
              <w:rPr>
                <w:rFonts w:cs="Calibri"/>
                <w:b/>
                <w:sz w:val="20"/>
                <w:szCs w:val="20"/>
              </w:rPr>
              <w:t>R2668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C4A3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 xml:space="preserve">Sredstva namijenjena za plaće djelatnicima umanjena su zbog nezapošljavanja planiranog zaposlenika i bolovanja djelatnika za </w:t>
            </w:r>
            <w:r w:rsidRPr="006E266D">
              <w:rPr>
                <w:rFonts w:cs="Calibri"/>
                <w:b/>
                <w:bCs/>
                <w:sz w:val="20"/>
                <w:szCs w:val="20"/>
                <w:lang w:eastAsia="hr-HR"/>
              </w:rPr>
              <w:t>206.399,88</w:t>
            </w:r>
            <w:r>
              <w:rPr>
                <w:rFonts w:cs="Calibri"/>
                <w:sz w:val="20"/>
                <w:szCs w:val="20"/>
                <w:lang w:eastAsia="hr-HR"/>
              </w:rPr>
              <w:t xml:space="preserve"> kn</w:t>
            </w:r>
          </w:p>
        </w:tc>
      </w:tr>
      <w:tr w:rsidR="00EF21A4" w:rsidRPr="00880E11" w14:paraId="329C0108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A523" w14:textId="77777777" w:rsidR="00EF21A4" w:rsidRPr="00801490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801490">
              <w:rPr>
                <w:rFonts w:cs="Calibri"/>
                <w:b/>
                <w:sz w:val="20"/>
                <w:szCs w:val="20"/>
              </w:rPr>
              <w:t>R2664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1A7E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Smanjenje sredstava za 7</w:t>
            </w:r>
            <w:r w:rsidRPr="006E266D">
              <w:rPr>
                <w:rFonts w:cs="Calibri"/>
                <w:b/>
                <w:bCs/>
                <w:sz w:val="20"/>
                <w:szCs w:val="20"/>
                <w:lang w:eastAsia="hr-HR"/>
              </w:rPr>
              <w:t>.000,00</w:t>
            </w:r>
            <w:r>
              <w:rPr>
                <w:rFonts w:cs="Calibri"/>
                <w:sz w:val="20"/>
                <w:szCs w:val="20"/>
                <w:lang w:eastAsia="hr-HR"/>
              </w:rPr>
              <w:t xml:space="preserve"> kn ( </w:t>
            </w:r>
            <w:proofErr w:type="spellStart"/>
            <w:r>
              <w:rPr>
                <w:rFonts w:cs="Calibri"/>
                <w:sz w:val="20"/>
                <w:szCs w:val="20"/>
                <w:lang w:eastAsia="hr-HR"/>
              </w:rPr>
              <w:t>nagrade,božićnica</w:t>
            </w:r>
            <w:proofErr w:type="spellEnd"/>
            <w:r>
              <w:rPr>
                <w:rFonts w:cs="Calibri"/>
                <w:sz w:val="20"/>
                <w:szCs w:val="20"/>
                <w:lang w:eastAsia="hr-HR"/>
              </w:rPr>
              <w:t>)</w:t>
            </w:r>
          </w:p>
        </w:tc>
      </w:tr>
      <w:tr w:rsidR="00EF21A4" w:rsidRPr="00880E11" w14:paraId="20E55F06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5EA8" w14:textId="77777777" w:rsidR="00EF21A4" w:rsidRPr="00A14160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A14160">
              <w:rPr>
                <w:rFonts w:cs="Calibri"/>
                <w:b/>
                <w:sz w:val="20"/>
                <w:szCs w:val="20"/>
              </w:rPr>
              <w:t>R2669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2933" w14:textId="77777777" w:rsidR="00EF21A4" w:rsidRPr="004D0162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Uvećanje zbog povećane potrebe slanja zaposlenika na edukacije i stručne seminare. </w:t>
            </w:r>
          </w:p>
        </w:tc>
      </w:tr>
      <w:tr w:rsidR="00EF21A4" w:rsidRPr="00880E11" w14:paraId="30E4750A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2653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R2667</w:t>
            </w:r>
          </w:p>
          <w:p w14:paraId="0179FA06" w14:textId="77777777" w:rsidR="00EF21A4" w:rsidRPr="006E266D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R2670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70AD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4D0162">
              <w:rPr>
                <w:rFonts w:cs="Calibri"/>
                <w:sz w:val="20"/>
                <w:szCs w:val="20"/>
              </w:rPr>
              <w:t xml:space="preserve">Uvećanje zbog povećanog obima </w:t>
            </w:r>
            <w:r>
              <w:rPr>
                <w:rFonts w:cs="Calibri"/>
                <w:sz w:val="20"/>
                <w:szCs w:val="20"/>
              </w:rPr>
              <w:t>posla.</w:t>
            </w:r>
          </w:p>
        </w:tc>
      </w:tr>
      <w:tr w:rsidR="00EF21A4" w:rsidRPr="00880E11" w14:paraId="0B63714B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DDEB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6E266D">
              <w:rPr>
                <w:rFonts w:cs="Calibri"/>
                <w:b/>
                <w:sz w:val="20"/>
                <w:szCs w:val="20"/>
              </w:rPr>
              <w:t>R2671</w:t>
            </w:r>
          </w:p>
          <w:p w14:paraId="69D05FAD" w14:textId="77777777" w:rsidR="00EF21A4" w:rsidRPr="006E266D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R3551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71D8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4D0162">
              <w:rPr>
                <w:rFonts w:cs="Calibri"/>
                <w:sz w:val="20"/>
                <w:szCs w:val="20"/>
              </w:rPr>
              <w:t xml:space="preserve">Uvećanje zbog povećanog obima </w:t>
            </w:r>
            <w:r>
              <w:rPr>
                <w:rFonts w:cs="Calibri"/>
                <w:sz w:val="20"/>
                <w:szCs w:val="20"/>
              </w:rPr>
              <w:t>posla, radnih uvjeta i povećanja cijena.</w:t>
            </w:r>
          </w:p>
        </w:tc>
      </w:tr>
      <w:tr w:rsidR="00EF21A4" w:rsidRPr="00880E11" w14:paraId="4F782BB8" w14:textId="77777777" w:rsidTr="00B62657">
        <w:trPr>
          <w:trHeight w:val="533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0D9C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R2678</w:t>
            </w:r>
          </w:p>
          <w:p w14:paraId="2D5CD877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R2680</w:t>
            </w:r>
          </w:p>
          <w:p w14:paraId="5DE908F3" w14:textId="77777777" w:rsidR="00EF21A4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R2681</w:t>
            </w:r>
          </w:p>
          <w:p w14:paraId="50092EB3" w14:textId="77777777" w:rsidR="00EF21A4" w:rsidRPr="006E266D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7813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4D0162">
              <w:rPr>
                <w:rFonts w:cs="Calibri"/>
                <w:sz w:val="20"/>
                <w:szCs w:val="20"/>
              </w:rPr>
              <w:t>Uvećanje zbog povećan</w:t>
            </w:r>
            <w:r>
              <w:rPr>
                <w:rFonts w:cs="Calibri"/>
                <w:sz w:val="20"/>
                <w:szCs w:val="20"/>
              </w:rPr>
              <w:t xml:space="preserve">ja cijena. </w:t>
            </w:r>
          </w:p>
        </w:tc>
      </w:tr>
      <w:tr w:rsidR="00EF21A4" w:rsidRPr="00880E11" w14:paraId="0B1B6D5F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223C" w14:textId="77777777" w:rsidR="00EF21A4" w:rsidRPr="00ED7AF4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R2683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4352" w14:textId="77777777" w:rsidR="00EF21A4" w:rsidRPr="00A644F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A644F1">
              <w:rPr>
                <w:rFonts w:cs="Calibri"/>
                <w:sz w:val="20"/>
                <w:szCs w:val="20"/>
              </w:rPr>
              <w:t xml:space="preserve">Uvećanje jer predsjednik upravnog vijeća više </w:t>
            </w:r>
            <w:r w:rsidRPr="00A644F1">
              <w:rPr>
                <w:sz w:val="20"/>
                <w:szCs w:val="20"/>
              </w:rPr>
              <w:t>nije dužnosnik te sukladno Zakonu o sprječavanju sukoba interesa ima pravo na naknadu za rad u upravnom vijeću</w:t>
            </w:r>
            <w:r>
              <w:rPr>
                <w:sz w:val="20"/>
                <w:szCs w:val="20"/>
              </w:rPr>
              <w:t>.</w:t>
            </w:r>
          </w:p>
        </w:tc>
      </w:tr>
      <w:tr w:rsidR="00EF21A4" w:rsidRPr="00880E11" w14:paraId="5C73F4DB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7B0D" w14:textId="77777777" w:rsidR="00EF21A4" w:rsidRPr="00A14160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R2679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7BA3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Uvećanje zbog odluke osnivača na pravo zaposlenika na sistematski pregled.</w:t>
            </w:r>
          </w:p>
        </w:tc>
      </w:tr>
      <w:tr w:rsidR="00EF21A4" w:rsidRPr="00880E11" w14:paraId="7D70F6A0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4AD3" w14:textId="77777777" w:rsidR="00EF21A4" w:rsidRPr="00A14160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R3811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759D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Smanjenje za 5.000,00 kn, pokrivanje troškova iz vlastitog izvora</w:t>
            </w:r>
          </w:p>
        </w:tc>
      </w:tr>
      <w:tr w:rsidR="00EF21A4" w:rsidRPr="00880E11" w14:paraId="370E4D17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5C39" w14:textId="77777777" w:rsidR="00EF21A4" w:rsidRPr="00E325E8" w:rsidRDefault="00EF21A4" w:rsidP="00B62657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Obrazloženje za stavke od R4001-1 do R 4001-9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D989" w14:textId="0F8B80FE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Planirana sredstva su sredstava iz izvora 4.3. (prihod za posebne namjene) u</w:t>
            </w:r>
            <w:r>
              <w:rPr>
                <w:rFonts w:cs="Calibri"/>
                <w:sz w:val="20"/>
                <w:szCs w:val="20"/>
              </w:rPr>
              <w:t>manjuju se  za 66.576,06, pokrivanje troškova iz vlastitog izvora</w:t>
            </w:r>
          </w:p>
        </w:tc>
      </w:tr>
      <w:tr w:rsidR="00EF21A4" w:rsidRPr="00880E11" w14:paraId="3420297A" w14:textId="77777777" w:rsidTr="00B62657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298C" w14:textId="77777777" w:rsidR="00EF21A4" w:rsidRPr="00A644F1" w:rsidRDefault="00EF21A4" w:rsidP="00B626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R4001-10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B08F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Planirana sredstva su sredstva iz izvora 4.3. (prihod za posebne namjene) povećana na 95.576,06 zbog povećane potrebe odlaska na teren i potrebe za vlastitim prijevoznim sredstvom</w:t>
            </w:r>
          </w:p>
        </w:tc>
      </w:tr>
      <w:tr w:rsidR="00EF21A4" w:rsidRPr="00880E11" w14:paraId="03F24BD2" w14:textId="77777777" w:rsidTr="00B62657">
        <w:trPr>
          <w:trHeight w:val="533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0AC1" w14:textId="77777777" w:rsidR="00EF21A4" w:rsidRPr="00E325E8" w:rsidRDefault="00EF21A4" w:rsidP="00B62657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7B5C" w14:textId="77777777" w:rsidR="00EF21A4" w:rsidRPr="00880E11" w:rsidRDefault="00EF21A4" w:rsidP="00B62657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1537123" w14:textId="77777777" w:rsidR="00EF21A4" w:rsidRDefault="00EF21A4" w:rsidP="00EF21A4">
      <w:pPr>
        <w:spacing w:after="0"/>
        <w:rPr>
          <w:rFonts w:cs="Calibri"/>
        </w:rPr>
      </w:pPr>
      <w:r>
        <w:rPr>
          <w:rFonts w:cs="Calibri"/>
        </w:rPr>
        <w:t xml:space="preserve">Obrazloženje za Zavod za prostorno uređenje daje ravnatelj  Domagoj Orlić, dipl. ing. </w:t>
      </w:r>
      <w:proofErr w:type="spellStart"/>
      <w:r>
        <w:rPr>
          <w:rFonts w:cs="Calibri"/>
        </w:rPr>
        <w:t>prom</w:t>
      </w:r>
      <w:proofErr w:type="spellEnd"/>
      <w:r>
        <w:rPr>
          <w:rFonts w:cs="Calibri"/>
        </w:rPr>
        <w:t>.</w:t>
      </w:r>
    </w:p>
    <w:p w14:paraId="792807E1" w14:textId="77777777" w:rsidR="00EF21A4" w:rsidRDefault="00EF21A4" w:rsidP="00EF21A4"/>
    <w:p w14:paraId="0FC33D7A" w14:textId="77777777" w:rsidR="00EF21A4" w:rsidRDefault="00EF21A4" w:rsidP="00EF21A4"/>
    <w:p w14:paraId="501A1E34" w14:textId="77777777" w:rsidR="00EF21A4" w:rsidRDefault="00EF21A4" w:rsidP="00EF21A4"/>
    <w:p w14:paraId="508753EC" w14:textId="72AB781F" w:rsidR="00EF21A4" w:rsidRDefault="00EF21A4" w:rsidP="00493383">
      <w:pPr>
        <w:tabs>
          <w:tab w:val="left" w:pos="3053"/>
        </w:tabs>
        <w:spacing w:after="0"/>
        <w:rPr>
          <w:rFonts w:cs="Calibri"/>
        </w:rPr>
      </w:pPr>
    </w:p>
    <w:p w14:paraId="75C60200" w14:textId="77777777" w:rsidR="00493383" w:rsidRDefault="00493383" w:rsidP="00493383"/>
    <w:sectPr w:rsidR="00493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83490"/>
    <w:multiLevelType w:val="hybridMultilevel"/>
    <w:tmpl w:val="D1845774"/>
    <w:lvl w:ilvl="0" w:tplc="3A94C902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472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83"/>
    <w:rsid w:val="00033AAC"/>
    <w:rsid w:val="00255B66"/>
    <w:rsid w:val="00395FF0"/>
    <w:rsid w:val="00493383"/>
    <w:rsid w:val="00530C37"/>
    <w:rsid w:val="0079252B"/>
    <w:rsid w:val="008C35CC"/>
    <w:rsid w:val="00CC7EF6"/>
    <w:rsid w:val="00EA1291"/>
    <w:rsid w:val="00EF21A4"/>
    <w:rsid w:val="00F6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7A6D"/>
  <w15:chartTrackingRefBased/>
  <w15:docId w15:val="{44F80F96-D5F5-47DF-9757-95D56705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383"/>
    <w:pPr>
      <w:spacing w:line="252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3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Graditeljstvo Sisak5</dc:creator>
  <cp:keywords/>
  <dc:description/>
  <cp:lastModifiedBy>Graditeljstvo Sisak5</cp:lastModifiedBy>
  <cp:revision>8</cp:revision>
  <dcterms:created xsi:type="dcterms:W3CDTF">2022-12-06T07:33:00Z</dcterms:created>
  <dcterms:modified xsi:type="dcterms:W3CDTF">2022-12-13T11:31:00Z</dcterms:modified>
</cp:coreProperties>
</file>